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E" w:rsidRDefault="0057377E" w:rsidP="00C54D23">
      <w:pPr>
        <w:rPr>
          <w:b/>
          <w:color w:val="9BBB59" w:themeColor="accent3"/>
          <w:sz w:val="28"/>
        </w:rPr>
      </w:pPr>
      <w:bookmarkStart w:id="0" w:name="_GoBack"/>
      <w:bookmarkEnd w:id="0"/>
    </w:p>
    <w:p w:rsidR="0057377E" w:rsidRDefault="0057377E" w:rsidP="00C54D23">
      <w:pPr>
        <w:rPr>
          <w:b/>
          <w:color w:val="9BBB59" w:themeColor="accent3"/>
          <w:sz w:val="28"/>
        </w:rPr>
      </w:pPr>
    </w:p>
    <w:p w:rsidR="0057377E" w:rsidRDefault="0057377E" w:rsidP="00C54D23">
      <w:pPr>
        <w:rPr>
          <w:b/>
          <w:color w:val="9BBB59" w:themeColor="accent3"/>
          <w:sz w:val="28"/>
        </w:rPr>
      </w:pPr>
    </w:p>
    <w:p w:rsidR="00C54D23" w:rsidRPr="00F23B59" w:rsidRDefault="00C54D23" w:rsidP="00C54D23">
      <w:pPr>
        <w:rPr>
          <w:b/>
          <w:color w:val="9BBB59" w:themeColor="accent3"/>
          <w:sz w:val="24"/>
        </w:rPr>
      </w:pPr>
      <w:r w:rsidRPr="00F23B59">
        <w:rPr>
          <w:b/>
          <w:noProof/>
          <w:color w:val="9BBB59" w:themeColor="accent3"/>
          <w:sz w:val="28"/>
          <w:lang w:eastAsia="fi-FI"/>
        </w:rPr>
        <w:drawing>
          <wp:anchor distT="0" distB="0" distL="114300" distR="114300" simplePos="0" relativeHeight="251663360" behindDoc="1" locked="0" layoutInCell="1" allowOverlap="1" wp14:anchorId="29C202DA" wp14:editId="12F43359">
            <wp:simplePos x="0" y="0"/>
            <wp:positionH relativeFrom="column">
              <wp:posOffset>5231130</wp:posOffset>
            </wp:positionH>
            <wp:positionV relativeFrom="paragraph">
              <wp:posOffset>-126365</wp:posOffset>
            </wp:positionV>
            <wp:extent cx="990600" cy="920750"/>
            <wp:effectExtent l="0" t="0" r="0" b="0"/>
            <wp:wrapTight wrapText="bothSides">
              <wp:wrapPolygon edited="0">
                <wp:start x="8723" y="0"/>
                <wp:lineTo x="2492" y="3128"/>
                <wp:lineTo x="0" y="5363"/>
                <wp:lineTo x="0" y="11619"/>
                <wp:lineTo x="2492" y="14301"/>
                <wp:lineTo x="831" y="15194"/>
                <wp:lineTo x="1662" y="18323"/>
                <wp:lineTo x="6646" y="21004"/>
                <wp:lineTo x="14123" y="21004"/>
                <wp:lineTo x="19108" y="18770"/>
                <wp:lineTo x="19938" y="16088"/>
                <wp:lineTo x="17031" y="14301"/>
                <wp:lineTo x="21185" y="11619"/>
                <wp:lineTo x="21185" y="5363"/>
                <wp:lineTo x="14954" y="894"/>
                <wp:lineTo x="11215" y="0"/>
                <wp:lineTo x="872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B59">
        <w:rPr>
          <w:b/>
          <w:color w:val="9BBB59" w:themeColor="accent3"/>
          <w:sz w:val="28"/>
        </w:rPr>
        <w:t>EAKR-</w:t>
      </w:r>
      <w:r>
        <w:rPr>
          <w:b/>
          <w:color w:val="9BBB59" w:themeColor="accent3"/>
          <w:sz w:val="28"/>
        </w:rPr>
        <w:t>hanke</w:t>
      </w:r>
    </w:p>
    <w:p w:rsidR="00C54D23" w:rsidRPr="00F23B59" w:rsidRDefault="00C54D23" w:rsidP="00C54D23">
      <w:pPr>
        <w:rPr>
          <w:b/>
          <w:color w:val="9BBB59" w:themeColor="accent3"/>
          <w:sz w:val="28"/>
        </w:rPr>
      </w:pPr>
      <w:r w:rsidRPr="00F23B59">
        <w:rPr>
          <w:b/>
          <w:color w:val="9BBB59" w:themeColor="accent3"/>
          <w:sz w:val="28"/>
        </w:rPr>
        <w:t>Toimintamalli yritysten elinkaaristen ympäristövaikutusten kehittämiseksi (MALLI-Y)</w:t>
      </w:r>
    </w:p>
    <w:p w:rsidR="00C54D23" w:rsidRPr="00F23B59" w:rsidRDefault="00C54D23" w:rsidP="00C54D23">
      <w:pPr>
        <w:rPr>
          <w:b/>
          <w:color w:val="9BBB59" w:themeColor="accent3"/>
          <w:sz w:val="28"/>
        </w:rPr>
      </w:pPr>
    </w:p>
    <w:p w:rsidR="008541B1" w:rsidRDefault="008541B1" w:rsidP="00C54D23">
      <w:pPr>
        <w:rPr>
          <w:color w:val="9BBB59" w:themeColor="accent3"/>
          <w:sz w:val="28"/>
        </w:rPr>
      </w:pPr>
    </w:p>
    <w:p w:rsidR="00E87210" w:rsidRDefault="00E87210" w:rsidP="00C54D23">
      <w:pPr>
        <w:rPr>
          <w:color w:val="9BBB59" w:themeColor="accent3"/>
          <w:sz w:val="28"/>
        </w:rPr>
      </w:pPr>
    </w:p>
    <w:p w:rsidR="00E87210" w:rsidRDefault="00E87210" w:rsidP="00C54D23">
      <w:pPr>
        <w:rPr>
          <w:color w:val="9BBB59" w:themeColor="accent3"/>
          <w:sz w:val="28"/>
        </w:rPr>
      </w:pPr>
    </w:p>
    <w:p w:rsidR="00E87210" w:rsidRPr="00F23B59" w:rsidRDefault="00E87210" w:rsidP="00C54D23">
      <w:pPr>
        <w:rPr>
          <w:color w:val="9BBB59" w:themeColor="accent3"/>
          <w:sz w:val="28"/>
        </w:rPr>
      </w:pPr>
    </w:p>
    <w:p w:rsidR="00C54D23" w:rsidRPr="00435D99" w:rsidRDefault="00C54D23" w:rsidP="00C54D23">
      <w:pPr>
        <w:rPr>
          <w:color w:val="9BBB59" w:themeColor="accent3"/>
          <w:sz w:val="32"/>
        </w:rPr>
      </w:pPr>
      <w:r w:rsidRPr="00435D99">
        <w:rPr>
          <w:color w:val="9BBB59" w:themeColor="accent3"/>
          <w:sz w:val="32"/>
        </w:rPr>
        <w:t xml:space="preserve">Raportti </w:t>
      </w:r>
    </w:p>
    <w:p w:rsidR="00C54D23" w:rsidRPr="00F23B59" w:rsidRDefault="00C54D23" w:rsidP="00C54D23">
      <w:pPr>
        <w:rPr>
          <w:color w:val="9BBB59" w:themeColor="accent3"/>
          <w:sz w:val="28"/>
        </w:rPr>
      </w:pPr>
    </w:p>
    <w:p w:rsidR="00C54D23" w:rsidRDefault="00396153" w:rsidP="00C54D23">
      <w:pPr>
        <w:rPr>
          <w:color w:val="9BBB59" w:themeColor="accent3"/>
          <w:sz w:val="28"/>
        </w:rPr>
      </w:pPr>
      <w:r>
        <w:rPr>
          <w:color w:val="9BBB59" w:themeColor="accent3"/>
          <w:sz w:val="28"/>
        </w:rPr>
        <w:t>Elinkaariklinikka:</w:t>
      </w:r>
      <w:r>
        <w:rPr>
          <w:color w:val="9BBB59" w:themeColor="accent3"/>
          <w:sz w:val="28"/>
        </w:rPr>
        <w:tab/>
      </w:r>
      <w:r w:rsidR="008A1CAD">
        <w:rPr>
          <w:color w:val="9BBB59" w:themeColor="accent3"/>
          <w:sz w:val="28"/>
        </w:rPr>
        <w:t>Pöydän valmistus</w:t>
      </w:r>
      <w:r w:rsidR="008A1CAD">
        <w:rPr>
          <w:noProof/>
          <w:sz w:val="24"/>
          <w:lang w:eastAsia="fi-FI"/>
        </w:rPr>
        <w:t xml:space="preserve"> </w:t>
      </w: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66305C" w:rsidRDefault="0066305C" w:rsidP="0066305C">
      <w:pPr>
        <w:ind w:left="1134" w:hanging="1615"/>
        <w:jc w:val="center"/>
      </w:pPr>
    </w:p>
    <w:p w:rsidR="00AC3636" w:rsidRDefault="00AC3636" w:rsidP="00AC3636">
      <w:pPr>
        <w:spacing w:line="360" w:lineRule="auto"/>
        <w:jc w:val="center"/>
      </w:pPr>
    </w:p>
    <w:p w:rsidR="00D0397F" w:rsidRDefault="00AC3636" w:rsidP="00C54D23">
      <w:pPr>
        <w:spacing w:line="360" w:lineRule="auto"/>
        <w:rPr>
          <w:color w:val="9BBB59" w:themeColor="accent3"/>
          <w:sz w:val="24"/>
        </w:rPr>
      </w:pPr>
      <w:r>
        <w:t xml:space="preserve">                                          </w:t>
      </w:r>
    </w:p>
    <w:p w:rsidR="00AA6AEC" w:rsidRDefault="00AA6AEC" w:rsidP="00C54D23">
      <w:pPr>
        <w:spacing w:line="360" w:lineRule="auto"/>
        <w:rPr>
          <w:color w:val="9BBB59" w:themeColor="accent3"/>
          <w:sz w:val="24"/>
        </w:rPr>
      </w:pPr>
    </w:p>
    <w:p w:rsidR="00AA0309" w:rsidRDefault="00AA0309" w:rsidP="00AA0309">
      <w:pPr>
        <w:spacing w:line="360" w:lineRule="auto"/>
        <w:rPr>
          <w:color w:val="9BBB59" w:themeColor="accent3"/>
          <w:sz w:val="24"/>
        </w:rPr>
      </w:pPr>
    </w:p>
    <w:p w:rsidR="00AA0309" w:rsidRDefault="00AA0309" w:rsidP="00AA0309">
      <w:pPr>
        <w:spacing w:line="360" w:lineRule="auto"/>
        <w:rPr>
          <w:color w:val="9BBB59" w:themeColor="accent3"/>
          <w:sz w:val="24"/>
        </w:rPr>
      </w:pPr>
    </w:p>
    <w:p w:rsidR="00AA0309" w:rsidRDefault="00AA0309" w:rsidP="00AA0309">
      <w:pPr>
        <w:spacing w:line="360" w:lineRule="auto"/>
        <w:rPr>
          <w:color w:val="9BBB59" w:themeColor="accent3"/>
          <w:sz w:val="24"/>
        </w:rPr>
      </w:pPr>
    </w:p>
    <w:p w:rsidR="00AA0309" w:rsidRDefault="00AA0309" w:rsidP="00AA0309">
      <w:pPr>
        <w:spacing w:line="360" w:lineRule="auto"/>
        <w:rPr>
          <w:color w:val="9BBB59" w:themeColor="accent3"/>
          <w:sz w:val="24"/>
        </w:rPr>
      </w:pPr>
    </w:p>
    <w:p w:rsidR="00AA0309" w:rsidRPr="00F23B59" w:rsidRDefault="00AA0309" w:rsidP="00AA0309">
      <w:pPr>
        <w:spacing w:line="360" w:lineRule="auto"/>
        <w:rPr>
          <w:color w:val="9BBB59" w:themeColor="accent3"/>
          <w:sz w:val="24"/>
        </w:rPr>
      </w:pPr>
      <w:r w:rsidRPr="00F23B59">
        <w:rPr>
          <w:color w:val="9BBB59" w:themeColor="accent3"/>
          <w:sz w:val="24"/>
        </w:rPr>
        <w:t xml:space="preserve">Yrityksen nimi </w:t>
      </w:r>
      <w:r>
        <w:rPr>
          <w:color w:val="9BBB59" w:themeColor="accent3"/>
          <w:sz w:val="24"/>
        </w:rPr>
        <w:tab/>
      </w:r>
      <w:r>
        <w:rPr>
          <w:color w:val="9BBB59" w:themeColor="accent3"/>
          <w:sz w:val="24"/>
        </w:rPr>
        <w:tab/>
      </w:r>
      <w:r>
        <w:rPr>
          <w:color w:val="9BBB59" w:themeColor="accent3"/>
          <w:sz w:val="24"/>
        </w:rPr>
        <w:tab/>
        <w:t>Pöytä Oy</w:t>
      </w:r>
    </w:p>
    <w:p w:rsidR="00AA0309" w:rsidRPr="00F23B59" w:rsidRDefault="00AA0309" w:rsidP="00AA0309">
      <w:pPr>
        <w:spacing w:line="360" w:lineRule="auto"/>
        <w:rPr>
          <w:color w:val="9BBB59" w:themeColor="accent3"/>
          <w:sz w:val="24"/>
        </w:rPr>
      </w:pPr>
      <w:r w:rsidRPr="00F23B59">
        <w:rPr>
          <w:color w:val="9BBB59" w:themeColor="accent3"/>
          <w:sz w:val="24"/>
        </w:rPr>
        <w:t xml:space="preserve">Arvioinnin suorittajat </w:t>
      </w:r>
      <w:r>
        <w:rPr>
          <w:color w:val="9BBB59" w:themeColor="accent3"/>
          <w:sz w:val="24"/>
        </w:rPr>
        <w:tab/>
      </w:r>
      <w:r>
        <w:rPr>
          <w:color w:val="9BBB59" w:themeColor="accent3"/>
          <w:sz w:val="24"/>
        </w:rPr>
        <w:tab/>
      </w:r>
      <w:r>
        <w:rPr>
          <w:color w:val="9BBB59" w:themeColor="accent3"/>
          <w:sz w:val="24"/>
        </w:rPr>
        <w:tab/>
      </w:r>
      <w:r w:rsidR="003B3450">
        <w:rPr>
          <w:color w:val="9BBB59" w:themeColor="accent3"/>
          <w:sz w:val="24"/>
        </w:rPr>
        <w:t>N.N. ja N.N.</w:t>
      </w:r>
    </w:p>
    <w:p w:rsidR="00AA0309" w:rsidRPr="00F23B59" w:rsidRDefault="00AA0309" w:rsidP="00AA0309">
      <w:pPr>
        <w:spacing w:line="360" w:lineRule="auto"/>
        <w:rPr>
          <w:color w:val="9BBB59" w:themeColor="accent3"/>
          <w:sz w:val="24"/>
        </w:rPr>
      </w:pPr>
      <w:r w:rsidRPr="00F23B59">
        <w:rPr>
          <w:color w:val="9BBB59" w:themeColor="accent3"/>
          <w:sz w:val="24"/>
        </w:rPr>
        <w:t>Elinkaariklinikan pvm</w:t>
      </w:r>
      <w:r>
        <w:rPr>
          <w:color w:val="9BBB59" w:themeColor="accent3"/>
          <w:sz w:val="24"/>
        </w:rPr>
        <w:tab/>
      </w:r>
      <w:r>
        <w:rPr>
          <w:color w:val="9BBB59" w:themeColor="accent3"/>
          <w:sz w:val="24"/>
        </w:rPr>
        <w:tab/>
      </w:r>
      <w:r>
        <w:rPr>
          <w:color w:val="9BBB59" w:themeColor="accent3"/>
          <w:sz w:val="24"/>
        </w:rPr>
        <w:tab/>
        <w:t>11.9.2017</w:t>
      </w:r>
    </w:p>
    <w:p w:rsidR="00C54D23" w:rsidRPr="00F23B59" w:rsidRDefault="00C54D23" w:rsidP="00C54D23">
      <w:pPr>
        <w:rPr>
          <w:b/>
          <w:color w:val="9BBB59" w:themeColor="accent3"/>
          <w:sz w:val="28"/>
        </w:rPr>
      </w:pPr>
    </w:p>
    <w:p w:rsidR="00C54D23" w:rsidRPr="00C54D23" w:rsidRDefault="0057377E" w:rsidP="00C54D23">
      <w:pPr>
        <w:rPr>
          <w:b/>
        </w:rPr>
      </w:pPr>
      <w:r w:rsidRPr="00F23B59">
        <w:rPr>
          <w:b/>
          <w:noProof/>
          <w:color w:val="9BBB59" w:themeColor="accent3"/>
          <w:sz w:val="28"/>
          <w:lang w:eastAsia="fi-FI"/>
        </w:rPr>
        <w:drawing>
          <wp:anchor distT="0" distB="0" distL="114300" distR="114300" simplePos="0" relativeHeight="251662336" behindDoc="1" locked="0" layoutInCell="1" allowOverlap="1" wp14:anchorId="50C8036C" wp14:editId="24382AA4">
            <wp:simplePos x="0" y="0"/>
            <wp:positionH relativeFrom="column">
              <wp:posOffset>-234315</wp:posOffset>
            </wp:positionH>
            <wp:positionV relativeFrom="paragraph">
              <wp:posOffset>832485</wp:posOffset>
            </wp:positionV>
            <wp:extent cx="990600" cy="920750"/>
            <wp:effectExtent l="0" t="0" r="0" b="0"/>
            <wp:wrapTight wrapText="bothSides">
              <wp:wrapPolygon edited="0">
                <wp:start x="8723" y="0"/>
                <wp:lineTo x="2492" y="3128"/>
                <wp:lineTo x="0" y="5363"/>
                <wp:lineTo x="0" y="11619"/>
                <wp:lineTo x="2492" y="14301"/>
                <wp:lineTo x="831" y="15194"/>
                <wp:lineTo x="1662" y="18323"/>
                <wp:lineTo x="6646" y="21004"/>
                <wp:lineTo x="14123" y="21004"/>
                <wp:lineTo x="19108" y="18770"/>
                <wp:lineTo x="19938" y="16088"/>
                <wp:lineTo x="17031" y="14301"/>
                <wp:lineTo x="21185" y="11619"/>
                <wp:lineTo x="21185" y="5363"/>
                <wp:lineTo x="14954" y="894"/>
                <wp:lineTo x="11215" y="0"/>
                <wp:lineTo x="872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09" w:rsidRPr="00044189">
        <w:rPr>
          <w:b/>
          <w:noProof/>
          <w:color w:val="9BBB59" w:themeColor="accent3"/>
          <w:sz w:val="28"/>
          <w:highlight w:val="yellow"/>
          <w:lang w:eastAsia="fi-FI"/>
        </w:rPr>
        <w:drawing>
          <wp:anchor distT="0" distB="0" distL="114300" distR="114300" simplePos="0" relativeHeight="251682816" behindDoc="1" locked="0" layoutInCell="1" allowOverlap="1" wp14:anchorId="69812E2F" wp14:editId="1BD5A99A">
            <wp:simplePos x="0" y="0"/>
            <wp:positionH relativeFrom="column">
              <wp:posOffset>758190</wp:posOffset>
            </wp:positionH>
            <wp:positionV relativeFrom="paragraph">
              <wp:posOffset>723265</wp:posOffset>
            </wp:positionV>
            <wp:extent cx="6080760" cy="1120140"/>
            <wp:effectExtent l="0" t="0" r="0" b="0"/>
            <wp:wrapTight wrapText="bothSides">
              <wp:wrapPolygon edited="0">
                <wp:start x="6429" y="1837"/>
                <wp:lineTo x="0" y="4041"/>
                <wp:lineTo x="0" y="20939"/>
                <wp:lineTo x="6632" y="20939"/>
                <wp:lineTo x="6632" y="20204"/>
                <wp:lineTo x="21519" y="18000"/>
                <wp:lineTo x="21519" y="2939"/>
                <wp:lineTo x="9947" y="1837"/>
                <wp:lineTo x="6429" y="1837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ivi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/>
                    <a:stretch/>
                  </pic:blipFill>
                  <pic:spPr bwMode="auto">
                    <a:xfrm>
                      <a:off x="0" y="0"/>
                      <a:ext cx="608076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23" w:rsidRPr="00F23B59">
        <w:rPr>
          <w:b/>
          <w:color w:val="9BBB59" w:themeColor="accent3"/>
          <w:sz w:val="28"/>
        </w:rPr>
        <w:br w:type="page"/>
      </w:r>
    </w:p>
    <w:p w:rsidR="00AA0309" w:rsidRPr="006731A1" w:rsidRDefault="00AA0309" w:rsidP="00AA0309">
      <w:pPr>
        <w:pStyle w:val="Otsikko1"/>
        <w:spacing w:after="120"/>
        <w:rPr>
          <w:rFonts w:ascii="Arial" w:hAnsi="Arial" w:cs="Arial"/>
          <w:color w:val="9BBB59" w:themeColor="accent3"/>
        </w:rPr>
      </w:pPr>
      <w:r w:rsidRPr="006731A1">
        <w:rPr>
          <w:rFonts w:ascii="Arial" w:hAnsi="Arial" w:cs="Arial"/>
          <w:color w:val="9BBB59" w:themeColor="accent3"/>
        </w:rPr>
        <w:lastRenderedPageBreak/>
        <w:t>1 Johdanto</w:t>
      </w:r>
    </w:p>
    <w:p w:rsidR="00AA0309" w:rsidRPr="00CB56B2" w:rsidRDefault="00AA0309" w:rsidP="00AA0309">
      <w:pPr>
        <w:jc w:val="both"/>
        <w:rPr>
          <w:rFonts w:cs="Arial"/>
          <w:b/>
          <w:bCs/>
          <w:szCs w:val="24"/>
        </w:rPr>
      </w:pPr>
      <w:r w:rsidRPr="00CB56B2">
        <w:rPr>
          <w:rFonts w:cs="Arial"/>
          <w:szCs w:val="24"/>
        </w:rPr>
        <w:t>Tämän yksinkertaistetun elinkaariarvioinnin (elinkaariklinikan) suoritti</w:t>
      </w:r>
      <w:r>
        <w:rPr>
          <w:rFonts w:cs="Arial"/>
          <w:szCs w:val="24"/>
        </w:rPr>
        <w:t>vat Suomen ympäristökeskus SYKE</w:t>
      </w:r>
      <w:r w:rsidRPr="00CB56B2">
        <w:rPr>
          <w:rFonts w:cs="Arial"/>
          <w:szCs w:val="24"/>
        </w:rPr>
        <w:t xml:space="preserve"> ja </w:t>
      </w:r>
      <w:r>
        <w:rPr>
          <w:rFonts w:cs="Arial"/>
          <w:color w:val="252525"/>
          <w:szCs w:val="21"/>
        </w:rPr>
        <w:t xml:space="preserve">Pöytä Oy. </w:t>
      </w:r>
      <w:r w:rsidRPr="00CB56B2">
        <w:rPr>
          <w:rFonts w:cs="Arial"/>
          <w:szCs w:val="24"/>
        </w:rPr>
        <w:t>Arviointi on osa hanketta ”ToimintaMALLI yritysten elinkaaristen Ympäristö</w:t>
      </w:r>
      <w:r>
        <w:rPr>
          <w:rFonts w:cs="Arial"/>
          <w:szCs w:val="24"/>
        </w:rPr>
        <w:t>-</w:t>
      </w:r>
      <w:r w:rsidRPr="00CB56B2">
        <w:rPr>
          <w:rFonts w:cs="Arial"/>
          <w:szCs w:val="24"/>
        </w:rPr>
        <w:t>vaikutusten kehittämiseksi (MALLI-Y, 2015–2017)”. Hankkeen rahoittajia ovat Euroopan aluekehitys</w:t>
      </w:r>
      <w:r>
        <w:rPr>
          <w:rFonts w:cs="Arial"/>
          <w:szCs w:val="24"/>
        </w:rPr>
        <w:t>-</w:t>
      </w:r>
      <w:r w:rsidRPr="00CB56B2">
        <w:rPr>
          <w:rFonts w:cs="Arial"/>
          <w:szCs w:val="24"/>
        </w:rPr>
        <w:t xml:space="preserve">rahasto (EAKR), rahoittavana </w:t>
      </w:r>
      <w:r>
        <w:rPr>
          <w:rFonts w:cs="Arial"/>
          <w:szCs w:val="24"/>
        </w:rPr>
        <w:t xml:space="preserve">kansallisena </w:t>
      </w:r>
      <w:r w:rsidRPr="00CB56B2">
        <w:rPr>
          <w:rFonts w:cs="Arial"/>
          <w:szCs w:val="24"/>
        </w:rPr>
        <w:t xml:space="preserve">viranomaisena Etelä-Savon elinkeino-, liikenne- ja ympäristökeskus, sekä SYKE. </w:t>
      </w:r>
    </w:p>
    <w:p w:rsidR="00AA0309" w:rsidRPr="00AE1FDE" w:rsidRDefault="00AA0309" w:rsidP="00AA0309">
      <w:pPr>
        <w:rPr>
          <w:rFonts w:cs="Arial"/>
          <w:szCs w:val="21"/>
        </w:rPr>
      </w:pPr>
    </w:p>
    <w:p w:rsidR="00AA0309" w:rsidRDefault="00AA0309" w:rsidP="00AA0309">
      <w:pPr>
        <w:jc w:val="both"/>
        <w:rPr>
          <w:rFonts w:cs="Arial"/>
          <w:szCs w:val="24"/>
        </w:rPr>
      </w:pPr>
      <w:r w:rsidRPr="00AE1FDE">
        <w:rPr>
          <w:rFonts w:cs="Arial"/>
          <w:szCs w:val="21"/>
        </w:rPr>
        <w:t xml:space="preserve">Pöytä Oy valmistaa </w:t>
      </w:r>
      <w:r w:rsidRPr="00AE1FDE">
        <w:rPr>
          <w:rFonts w:cs="Arial"/>
        </w:rPr>
        <w:t xml:space="preserve">muovista ja metalliosista koostuvia pöytiä Suomen markkinoille. Valmistusmäärä 1000 kpl vuodessa. </w:t>
      </w:r>
      <w:r w:rsidRPr="00CB56B2">
        <w:rPr>
          <w:rFonts w:cs="Arial"/>
          <w:szCs w:val="24"/>
        </w:rPr>
        <w:t xml:space="preserve">Tutkijat </w:t>
      </w:r>
      <w:r w:rsidR="003B3450">
        <w:rPr>
          <w:rFonts w:cs="Arial"/>
          <w:szCs w:val="24"/>
        </w:rPr>
        <w:t>N.N.</w:t>
      </w:r>
      <w:r w:rsidRPr="00CB56B2">
        <w:rPr>
          <w:rFonts w:cs="Arial"/>
          <w:szCs w:val="24"/>
        </w:rPr>
        <w:t xml:space="preserve"> ja </w:t>
      </w:r>
      <w:r w:rsidR="003B3450">
        <w:rPr>
          <w:rFonts w:cs="Arial"/>
          <w:szCs w:val="24"/>
        </w:rPr>
        <w:t xml:space="preserve">N.N. </w:t>
      </w:r>
      <w:r w:rsidRPr="00CB56B2">
        <w:rPr>
          <w:rFonts w:cs="Arial"/>
          <w:szCs w:val="24"/>
        </w:rPr>
        <w:t>olivat vastuussa arvioinnin toteut</w:t>
      </w:r>
      <w:r>
        <w:rPr>
          <w:rFonts w:cs="Arial"/>
          <w:szCs w:val="24"/>
        </w:rPr>
        <w:t xml:space="preserve">tamisesta. Toimitusjohtaja N.N. osallistui </w:t>
      </w:r>
      <w:r w:rsidRPr="00CB56B2">
        <w:rPr>
          <w:rFonts w:cs="Arial"/>
          <w:szCs w:val="24"/>
        </w:rPr>
        <w:t>arviointiin</w:t>
      </w:r>
      <w:r>
        <w:rPr>
          <w:rFonts w:cs="Arial"/>
          <w:szCs w:val="24"/>
        </w:rPr>
        <w:t xml:space="preserve"> Pöytä Oy:n edustajana</w:t>
      </w:r>
      <w:r w:rsidRPr="00CB56B2">
        <w:rPr>
          <w:rFonts w:cs="Arial"/>
          <w:szCs w:val="24"/>
        </w:rPr>
        <w:t xml:space="preserve">. </w:t>
      </w:r>
    </w:p>
    <w:p w:rsidR="00AA0309" w:rsidRPr="00736E06" w:rsidRDefault="00AA0309" w:rsidP="00AA0309">
      <w:pPr>
        <w:pStyle w:val="Otsikko1"/>
        <w:spacing w:after="120"/>
        <w:rPr>
          <w:rFonts w:ascii="Arial" w:hAnsi="Arial" w:cs="Arial"/>
          <w:color w:val="9BBB59" w:themeColor="accent3"/>
        </w:rPr>
      </w:pPr>
      <w:r>
        <w:rPr>
          <w:rFonts w:ascii="Arial" w:hAnsi="Arial" w:cs="Arial"/>
          <w:color w:val="9BBB59" w:themeColor="accent3"/>
        </w:rPr>
        <w:t xml:space="preserve">2 </w:t>
      </w:r>
      <w:r w:rsidRPr="009141DF">
        <w:rPr>
          <w:rFonts w:ascii="Arial" w:hAnsi="Arial" w:cs="Arial"/>
          <w:color w:val="9BBB59" w:themeColor="accent3"/>
        </w:rPr>
        <w:t xml:space="preserve">Tavoitteet ja soveltamisalan määrittely </w:t>
      </w:r>
    </w:p>
    <w:p w:rsidR="00AA0309" w:rsidRPr="00E903B3" w:rsidRDefault="00AA0309" w:rsidP="00AA0309">
      <w:pPr>
        <w:jc w:val="both"/>
        <w:rPr>
          <w:color w:val="FF0000"/>
          <w:szCs w:val="22"/>
        </w:rPr>
      </w:pPr>
      <w:r w:rsidRPr="00F23B59">
        <w:rPr>
          <w:szCs w:val="22"/>
        </w:rPr>
        <w:t>Elinkaariklinikan</w:t>
      </w:r>
      <w:r>
        <w:rPr>
          <w:szCs w:val="22"/>
        </w:rPr>
        <w:t xml:space="preserve"> tavoitteena oli arvioida yhden pöydän valmistuksen ja pakkaamisen </w:t>
      </w:r>
      <w:r w:rsidRPr="006F740F">
        <w:rPr>
          <w:szCs w:val="22"/>
        </w:rPr>
        <w:t xml:space="preserve">aikana </w:t>
      </w:r>
      <w:r w:rsidRPr="00F23B59">
        <w:rPr>
          <w:szCs w:val="22"/>
        </w:rPr>
        <w:t>syntyviä ympäristövaikutuksia yksinkertaistetun elinkaariarvioinnin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streamlined</w:t>
      </w:r>
      <w:proofErr w:type="spellEnd"/>
      <w:r>
        <w:rPr>
          <w:szCs w:val="22"/>
        </w:rPr>
        <w:t xml:space="preserve"> LCA)</w:t>
      </w:r>
      <w:r w:rsidRPr="00F23B59">
        <w:rPr>
          <w:szCs w:val="22"/>
        </w:rPr>
        <w:t xml:space="preserve"> avulla. Arvioinnissa keskityttiin ilmastonmuutokseen liittyviin vaikutuksiin</w:t>
      </w:r>
      <w:r>
        <w:rPr>
          <w:szCs w:val="22"/>
        </w:rPr>
        <w:t xml:space="preserve"> (jatkossa ilmastovaikutukset)</w:t>
      </w:r>
      <w:r w:rsidRPr="00F23B59">
        <w:rPr>
          <w:szCs w:val="22"/>
        </w:rPr>
        <w:t>.</w:t>
      </w:r>
      <w:r>
        <w:rPr>
          <w:szCs w:val="22"/>
        </w:rPr>
        <w:t xml:space="preserve"> Elinkaariklinikan aikana käytiin prosessin materiaalitietoja läpi ja arviointi suoritettiin näiden lähtötietojen (taulukko 1) avulla.</w:t>
      </w:r>
    </w:p>
    <w:p w:rsidR="00AA0309" w:rsidRPr="00F23B59" w:rsidRDefault="00AA0309" w:rsidP="00AA0309">
      <w:pPr>
        <w:rPr>
          <w:szCs w:val="22"/>
        </w:rPr>
      </w:pPr>
    </w:p>
    <w:p w:rsidR="00AA0309" w:rsidRDefault="00AA0309" w:rsidP="00AA0309">
      <w:pPr>
        <w:jc w:val="both"/>
        <w:rPr>
          <w:b/>
          <w:szCs w:val="22"/>
        </w:rPr>
      </w:pPr>
      <w:r w:rsidRPr="00F23B59">
        <w:rPr>
          <w:szCs w:val="22"/>
        </w:rPr>
        <w:t xml:space="preserve">Arvioinnin </w:t>
      </w:r>
      <w:r>
        <w:rPr>
          <w:i/>
          <w:szCs w:val="22"/>
        </w:rPr>
        <w:t>toiminnalliseksi yksik</w:t>
      </w:r>
      <w:r w:rsidRPr="00F23B59">
        <w:rPr>
          <w:i/>
          <w:szCs w:val="22"/>
        </w:rPr>
        <w:t>ö</w:t>
      </w:r>
      <w:r>
        <w:rPr>
          <w:i/>
          <w:szCs w:val="22"/>
        </w:rPr>
        <w:t>ksi</w:t>
      </w:r>
      <w:r>
        <w:rPr>
          <w:szCs w:val="22"/>
        </w:rPr>
        <w:t xml:space="preserve"> määritettiin</w:t>
      </w:r>
      <w:r>
        <w:rPr>
          <w:b/>
          <w:szCs w:val="22"/>
        </w:rPr>
        <w:t xml:space="preserve"> yhden pöydän valmistus ja pakkaaminen.</w:t>
      </w:r>
    </w:p>
    <w:p w:rsidR="00AA0309" w:rsidRPr="006731A1" w:rsidRDefault="00AA0309" w:rsidP="00AA0309">
      <w:pPr>
        <w:pStyle w:val="Otsikko1"/>
        <w:spacing w:after="120"/>
        <w:rPr>
          <w:rFonts w:ascii="Arial" w:hAnsi="Arial" w:cs="Arial"/>
          <w:color w:val="9BBB59" w:themeColor="accent3"/>
        </w:rPr>
      </w:pPr>
      <w:r w:rsidRPr="006731A1">
        <w:rPr>
          <w:rFonts w:ascii="Arial" w:hAnsi="Arial" w:cs="Arial"/>
          <w:color w:val="9BBB59" w:themeColor="accent3"/>
        </w:rPr>
        <w:t>3 Prosessin mallintaminen ja vaikutusten arviointi</w:t>
      </w:r>
    </w:p>
    <w:p w:rsidR="00AA0309" w:rsidRDefault="00AA0309" w:rsidP="00AA0309">
      <w:pPr>
        <w:jc w:val="both"/>
        <w:rPr>
          <w:rStyle w:val="otsikko"/>
          <w:rFonts w:eastAsiaTheme="majorEastAsia" w:cs="Arial"/>
        </w:rPr>
      </w:pPr>
      <w:r w:rsidRPr="00CB56B2">
        <w:rPr>
          <w:rFonts w:cs="Arial"/>
        </w:rPr>
        <w:t xml:space="preserve">Arvioitava prosessi mallinnettiin </w:t>
      </w:r>
      <w:proofErr w:type="spellStart"/>
      <w:r w:rsidRPr="00CB56B2">
        <w:rPr>
          <w:rFonts w:cs="Arial"/>
        </w:rPr>
        <w:t>openLCA-ohjel</w:t>
      </w:r>
      <w:r>
        <w:rPr>
          <w:rFonts w:cs="Arial"/>
        </w:rPr>
        <w:t>mistolla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GreenDelta</w:t>
      </w:r>
      <w:proofErr w:type="spellEnd"/>
      <w:r>
        <w:rPr>
          <w:rFonts w:cs="Arial"/>
        </w:rPr>
        <w:t xml:space="preserve">, versio 1.5.0, ympäristövaikutusten arviointimenetelmänä oli </w:t>
      </w:r>
      <w:proofErr w:type="spellStart"/>
      <w:r>
        <w:rPr>
          <w:rFonts w:cs="Arial"/>
        </w:rPr>
        <w:t>ReCiPe-keskipiste-mallinnuksen</w:t>
      </w:r>
      <w:proofErr w:type="spellEnd"/>
      <w:r>
        <w:rPr>
          <w:rFonts w:cs="Arial"/>
        </w:rPr>
        <w:t xml:space="preserve"> hierarkkinen näkökulma</w:t>
      </w:r>
      <w:r>
        <w:rPr>
          <w:rStyle w:val="Alaviitteenviite"/>
          <w:rFonts w:cs="Arial"/>
        </w:rPr>
        <w:footnoteReference w:id="1"/>
      </w:r>
      <w:r w:rsidRPr="00CB56B2">
        <w:rPr>
          <w:rFonts w:cs="Arial"/>
        </w:rPr>
        <w:t>).</w:t>
      </w:r>
      <w:r>
        <w:rPr>
          <w:rFonts w:cs="Arial"/>
        </w:rPr>
        <w:t xml:space="preserve"> Arvioinnissa käytettiin yritykseltä saatuja materiaalitietoja (taulukko 1) sekä</w:t>
      </w:r>
      <w:r w:rsidRPr="00F42B87">
        <w:rPr>
          <w:rFonts w:cs="Arial"/>
        </w:rPr>
        <w:t xml:space="preserve"> inventaariotietoja (life </w:t>
      </w:r>
      <w:proofErr w:type="spellStart"/>
      <w:r w:rsidRPr="00F42B87">
        <w:rPr>
          <w:rFonts w:cs="Arial"/>
        </w:rPr>
        <w:t>cycle</w:t>
      </w:r>
      <w:proofErr w:type="spellEnd"/>
      <w:r w:rsidRPr="00F42B87">
        <w:rPr>
          <w:rFonts w:cs="Arial"/>
        </w:rPr>
        <w:t xml:space="preserve"> </w:t>
      </w:r>
      <w:proofErr w:type="spellStart"/>
      <w:r w:rsidRPr="00F42B87">
        <w:rPr>
          <w:rFonts w:cs="Arial"/>
        </w:rPr>
        <w:t>invent</w:t>
      </w:r>
      <w:r>
        <w:rPr>
          <w:rFonts w:cs="Arial"/>
        </w:rPr>
        <w:t>ory</w:t>
      </w:r>
      <w:proofErr w:type="spellEnd"/>
      <w:r>
        <w:rPr>
          <w:rFonts w:cs="Arial"/>
        </w:rPr>
        <w:t xml:space="preserve"> eli LCI data)</w:t>
      </w:r>
      <w:r w:rsidRPr="00F42B87">
        <w:rPr>
          <w:rFonts w:cs="Arial"/>
        </w:rPr>
        <w:t xml:space="preserve"> </w:t>
      </w:r>
      <w:proofErr w:type="spellStart"/>
      <w:r w:rsidRPr="00F42B87">
        <w:rPr>
          <w:rFonts w:cs="Arial"/>
        </w:rPr>
        <w:t>Ecoinventin</w:t>
      </w:r>
      <w:proofErr w:type="spellEnd"/>
      <w:r w:rsidRPr="00F42B87">
        <w:rPr>
          <w:rFonts w:cs="Arial"/>
        </w:rPr>
        <w:t xml:space="preserve"> (versio 3.1) tietokannoista. </w:t>
      </w:r>
      <w:r w:rsidRPr="00855299">
        <w:rPr>
          <w:rFonts w:cs="Arial"/>
        </w:rPr>
        <w:t xml:space="preserve">Myös VTT:n tuottaman </w:t>
      </w:r>
      <w:r w:rsidRPr="00855299">
        <w:rPr>
          <w:rStyle w:val="otsikko"/>
          <w:rFonts w:eastAsiaTheme="majorEastAsia" w:cs="Arial"/>
        </w:rPr>
        <w:t xml:space="preserve">Suomen liikenteen pakokaasupäästöjen ja energiankulutuksen laskentajärjestelmä </w:t>
      </w:r>
      <w:proofErr w:type="spellStart"/>
      <w:r w:rsidRPr="00855299">
        <w:rPr>
          <w:rStyle w:val="otsikko"/>
          <w:rFonts w:eastAsiaTheme="majorEastAsia" w:cs="Arial"/>
        </w:rPr>
        <w:t>LIPASTOn</w:t>
      </w:r>
      <w:proofErr w:type="spellEnd"/>
      <w:r w:rsidRPr="00855299">
        <w:rPr>
          <w:rStyle w:val="Alaviitteenviite"/>
          <w:rFonts w:cs="Arial"/>
        </w:rPr>
        <w:footnoteReference w:id="2"/>
      </w:r>
      <w:r w:rsidRPr="00855299">
        <w:rPr>
          <w:rFonts w:cs="Arial"/>
        </w:rPr>
        <w:t xml:space="preserve"> tietoja</w:t>
      </w:r>
      <w:r w:rsidRPr="00855299">
        <w:rPr>
          <w:rStyle w:val="otsikko"/>
          <w:rFonts w:eastAsiaTheme="majorEastAsia" w:cs="Arial"/>
        </w:rPr>
        <w:t xml:space="preserve"> käytettiin apuna kuljetusten mallinnuksessa. Muut arvioinnin tukena käytetyt tietolähteet on mainittu erikseen raportin alaviitteissä.</w:t>
      </w:r>
    </w:p>
    <w:p w:rsidR="00AA0309" w:rsidRDefault="00AA0309" w:rsidP="00AA0309">
      <w:pPr>
        <w:rPr>
          <w:b/>
          <w:color w:val="9BBB59" w:themeColor="accent3"/>
        </w:rPr>
      </w:pPr>
      <w:r>
        <w:rPr>
          <w:b/>
          <w:color w:val="9BBB59" w:themeColor="accent3"/>
        </w:rPr>
        <w:br w:type="page"/>
      </w:r>
    </w:p>
    <w:p w:rsidR="00AA0309" w:rsidRPr="00AD5BBE" w:rsidRDefault="00AA0309" w:rsidP="00AA0309">
      <w:pPr>
        <w:pStyle w:val="Kuvatxt"/>
      </w:pPr>
      <w:r>
        <w:rPr>
          <w:rFonts w:cs="Arial"/>
          <w:b/>
          <w:color w:val="9BBB59" w:themeColor="accent3"/>
          <w:sz w:val="20"/>
        </w:rPr>
        <w:lastRenderedPageBreak/>
        <w:t>T</w:t>
      </w:r>
      <w:r w:rsidRPr="00B90D48">
        <w:rPr>
          <w:rFonts w:cs="Arial"/>
          <w:b/>
          <w:color w:val="9BBB59" w:themeColor="accent3"/>
          <w:sz w:val="20"/>
        </w:rPr>
        <w:t>aulukko 1.</w:t>
      </w:r>
      <w:r w:rsidRPr="00AB1D16">
        <w:rPr>
          <w:color w:val="auto"/>
          <w:sz w:val="20"/>
        </w:rPr>
        <w:t xml:space="preserve"> Pöydän tuotantoon ja pakkaamiseen (kuvitteellinen yritys Pöytä Oy) liittyvät materiaalitiedot.</w:t>
      </w:r>
    </w:p>
    <w:tbl>
      <w:tblPr>
        <w:tblStyle w:val="TaulukkoRuudukko1"/>
        <w:tblpPr w:leftFromText="141" w:rightFromText="141" w:vertAnchor="text" w:horzAnchor="margin" w:tblpX="108" w:tblpY="15"/>
        <w:tblW w:w="10173" w:type="dxa"/>
        <w:tblLayout w:type="fixed"/>
        <w:tblLook w:val="0420" w:firstRow="1" w:lastRow="0" w:firstColumn="0" w:lastColumn="0" w:noHBand="0" w:noVBand="1"/>
      </w:tblPr>
      <w:tblGrid>
        <w:gridCol w:w="2376"/>
        <w:gridCol w:w="2268"/>
        <w:gridCol w:w="5529"/>
      </w:tblGrid>
      <w:tr w:rsidR="00AA0309" w:rsidRPr="007B02C4" w:rsidTr="005F6EE4">
        <w:trPr>
          <w:trHeight w:val="397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</w:pPr>
            <w:r w:rsidRPr="007B02C4">
              <w:rPr>
                <w:rFonts w:ascii="Arial" w:eastAsia="Calibri" w:hAnsi="Arial" w:cs="Arial"/>
                <w:b/>
                <w:sz w:val="18"/>
                <w:szCs w:val="18"/>
                <w:u w:color="000000"/>
                <w:bdr w:val="nil"/>
              </w:rPr>
              <w:t>Raaka-aine/</w:t>
            </w:r>
            <w:r>
              <w:rPr>
                <w:rFonts w:ascii="Arial" w:eastAsia="Calibri" w:hAnsi="Arial" w:cs="Arial"/>
                <w:b/>
                <w:sz w:val="18"/>
                <w:szCs w:val="18"/>
                <w:u w:color="000000"/>
                <w:bdr w:val="nil"/>
              </w:rPr>
              <w:t xml:space="preserve"> </w:t>
            </w:r>
            <w:r w:rsidRPr="007B02C4">
              <w:rPr>
                <w:rFonts w:ascii="Arial" w:eastAsia="Calibri" w:hAnsi="Arial" w:cs="Arial"/>
                <w:b/>
                <w:sz w:val="18"/>
                <w:szCs w:val="18"/>
                <w:u w:color="000000"/>
                <w:bdr w:val="nil"/>
              </w:rPr>
              <w:t>osaprosessi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</w:pPr>
            <w:r w:rsidRPr="007B02C4">
              <w:rPr>
                <w:rFonts w:ascii="Arial" w:eastAsia="Calibri" w:hAnsi="Arial" w:cs="Arial"/>
                <w:b/>
                <w:sz w:val="18"/>
                <w:szCs w:val="18"/>
                <w:u w:color="000000"/>
                <w:bdr w:val="nil"/>
              </w:rPr>
              <w:t>Määrä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  <w:u w:color="000000"/>
                <w:bdr w:val="nil"/>
              </w:rPr>
            </w:pPr>
            <w:r w:rsidRPr="007B02C4">
              <w:rPr>
                <w:rFonts w:ascii="Arial" w:eastAsia="Calibri" w:hAnsi="Arial" w:cs="Arial"/>
                <w:b/>
                <w:sz w:val="18"/>
                <w:szCs w:val="18"/>
                <w:u w:color="000000"/>
                <w:bdr w:val="nil"/>
              </w:rPr>
              <w:t>Alkuperä/kuljetustarve</w:t>
            </w:r>
          </w:p>
        </w:tc>
      </w:tr>
      <w:tr w:rsidR="00AA0309" w:rsidRPr="007B02C4" w:rsidTr="005F6EE4">
        <w:trPr>
          <w:trHeight w:val="223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Muovi (</w:t>
            </w:r>
            <w:proofErr w:type="spellStart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ko</w:t>
            </w: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rkeatiheyksinen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 polyeteeni, PE-H</w:t>
            </w: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D)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1,0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500 km maantiekuljetus, puoliperävaunuyhdistelmä</w:t>
            </w:r>
          </w:p>
        </w:tc>
      </w:tr>
      <w:tr w:rsidR="00AA0309" w:rsidRPr="007B02C4" w:rsidTr="005F6EE4">
        <w:trPr>
          <w:trHeight w:val="223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Ruiskuvalu 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1,0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</w:p>
        </w:tc>
      </w:tr>
      <w:tr w:rsidR="00AA0309" w:rsidRPr="007B02C4" w:rsidTr="005F6EE4">
        <w:trPr>
          <w:trHeight w:val="223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Maali</w:t>
            </w:r>
          </w:p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0,05 kg</w:t>
            </w:r>
          </w:p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Tikkurilan maalitehdas – Joensuu, </w:t>
            </w:r>
          </w:p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400 km maantiekuljetus, puoliperävaunuyhdistelmä</w:t>
            </w:r>
          </w:p>
        </w:tc>
      </w:tr>
      <w:tr w:rsidR="00AA0309" w:rsidRPr="007B02C4" w:rsidTr="005F6EE4">
        <w:trPr>
          <w:trHeight w:val="223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Alumiini (kiinnityslevyt)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0,1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Kiina-Joensuu</w:t>
            </w:r>
          </w:p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Laiva (</w:t>
            </w:r>
            <w:proofErr w:type="spellStart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RoRo-alus</w:t>
            </w:r>
            <w:proofErr w:type="spellEnd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, Sanghai-Hampuri, 19850 km) ja maantiekuljetus (Hampuri-Joensuu 1865 km), puoliperävaunuyhdistelmä</w:t>
            </w:r>
          </w:p>
        </w:tc>
      </w:tr>
      <w:tr w:rsidR="00AA0309" w:rsidRPr="007B02C4" w:rsidTr="005F6EE4">
        <w:trPr>
          <w:trHeight w:val="223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Alumiinin muotoilu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0,1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</w:p>
        </w:tc>
      </w:tr>
      <w:tr w:rsidR="00AA0309" w:rsidRPr="007B02C4" w:rsidTr="005F6EE4">
        <w:trPr>
          <w:trHeight w:val="1023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Teräs (ruuvit)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0,0025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Kiina - Joensuu</w:t>
            </w:r>
          </w:p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Laiva (</w:t>
            </w:r>
            <w:proofErr w:type="spellStart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RoRo-alus</w:t>
            </w:r>
            <w:proofErr w:type="spellEnd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, Sanghai-Hampuri, 19850 km) ja maantiekuljetus (Hampuri-Joensuu 1865 km), puoliperävaunuyhdistelmä</w:t>
            </w:r>
          </w:p>
        </w:tc>
      </w:tr>
      <w:tr w:rsidR="00AA0309" w:rsidRPr="007B02C4" w:rsidTr="005F6EE4">
        <w:trPr>
          <w:trHeight w:val="269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Teräksen muotoilu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0,0025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</w:p>
        </w:tc>
      </w:tr>
      <w:tr w:rsidR="00AA0309" w:rsidRPr="007B02C4" w:rsidTr="005F6EE4">
        <w:trPr>
          <w:trHeight w:val="249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Pahvi (pakkaus)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0,9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200 km maantiekuljetus, puoliperävaunuyhdistelmä</w:t>
            </w:r>
          </w:p>
        </w:tc>
      </w:tr>
      <w:tr w:rsidR="00AA0309" w:rsidRPr="007B02C4" w:rsidTr="005F6EE4">
        <w:trPr>
          <w:trHeight w:val="249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Muovipussi (muovikalvo)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0,012 kg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20 km maantiekuljetus, puoliperävaunuyhdistelmä</w:t>
            </w:r>
          </w:p>
        </w:tc>
      </w:tr>
      <w:tr w:rsidR="00AA0309" w:rsidRPr="007B02C4" w:rsidTr="005F6EE4">
        <w:trPr>
          <w:trHeight w:val="249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Sähkö (ruiskumaalaus ja ruuvaus)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509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Wh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 +53,3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Wh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 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=  562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,3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Wh</w:t>
            </w:r>
            <w:proofErr w:type="spellEnd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 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Perussähkö, keskijännite. Esimerkiksi ruuvauksen tehonkulutus: teholtaan 800 W ruuviväännintä käytetään 4 minuutin ajan eli 800/60*4=53,3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Wh</w:t>
            </w:r>
            <w:proofErr w:type="spellEnd"/>
          </w:p>
        </w:tc>
      </w:tr>
      <w:tr w:rsidR="00AA0309" w:rsidRPr="007B02C4" w:rsidTr="005F6EE4">
        <w:trPr>
          <w:trHeight w:val="215"/>
        </w:trPr>
        <w:tc>
          <w:tcPr>
            <w:tcW w:w="2376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Lämmitys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50 kWh</w:t>
            </w:r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Kaukolämpö</w:t>
            </w: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. Yritys valmistaa 1000 pöytää vuodessa ja kaukolämpölasku on yhteensä 50 000 kWh, jolloin yhdelle pöydälle allokoidaan lämmityksen osuudeksi 50 kWh.</w:t>
            </w: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 </w:t>
            </w:r>
          </w:p>
        </w:tc>
      </w:tr>
      <w:tr w:rsidR="00AA0309" w:rsidRPr="007B02C4" w:rsidTr="005F6EE4">
        <w:trPr>
          <w:trHeight w:val="682"/>
        </w:trPr>
        <w:tc>
          <w:tcPr>
            <w:tcW w:w="2376" w:type="dxa"/>
            <w:vMerge w:val="restart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Kuljetukset </w:t>
            </w: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1*500+0,</w:t>
            </w: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05*400+0,1*1865+ </w:t>
            </w: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0,0025*1865</w:t>
            </w: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+</w:t>
            </w: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0,9*2</w:t>
            </w:r>
            <w:r>
              <w:rPr>
                <w:rFonts w:ascii="Arial" w:eastAsia="Arial Unicode MS" w:hAnsi="Arial" w:cs="Arial"/>
                <w:sz w:val="18"/>
                <w:szCs w:val="18"/>
                <w:bdr w:val="nil"/>
              </w:rPr>
              <w:t>00+0,012*20</w:t>
            </w: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 = 891,4025 </w:t>
            </w:r>
            <w:proofErr w:type="spellStart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g*km</w:t>
            </w:r>
            <w:proofErr w:type="spellEnd"/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Maantiekuljetus: puoliperävaunuyhdistelmä, EURO5, täysi kuorma</w:t>
            </w:r>
          </w:p>
        </w:tc>
      </w:tr>
      <w:tr w:rsidR="00AA0309" w:rsidRPr="007B02C4" w:rsidTr="005F6EE4">
        <w:trPr>
          <w:trHeight w:val="58"/>
        </w:trPr>
        <w:tc>
          <w:tcPr>
            <w:tcW w:w="2376" w:type="dxa"/>
            <w:vMerge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</w:p>
        </w:tc>
        <w:tc>
          <w:tcPr>
            <w:tcW w:w="2268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0,1*19850 + 0,0025*19850 =2034,625 </w:t>
            </w:r>
            <w:proofErr w:type="spellStart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kg*km</w:t>
            </w:r>
            <w:proofErr w:type="spellEnd"/>
          </w:p>
        </w:tc>
        <w:tc>
          <w:tcPr>
            <w:tcW w:w="5529" w:type="dxa"/>
          </w:tcPr>
          <w:p w:rsidR="00AA0309" w:rsidRPr="007B02C4" w:rsidRDefault="00AA0309" w:rsidP="005F6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 xml:space="preserve">Merikuljetus: </w:t>
            </w:r>
            <w:proofErr w:type="spellStart"/>
            <w:r w:rsidRPr="007B02C4">
              <w:rPr>
                <w:rFonts w:ascii="Arial" w:eastAsia="Arial Unicode MS" w:hAnsi="Arial" w:cs="Arial"/>
                <w:sz w:val="18"/>
                <w:szCs w:val="18"/>
                <w:bdr w:val="nil"/>
              </w:rPr>
              <w:t>RoRo-alus</w:t>
            </w:r>
            <w:proofErr w:type="spellEnd"/>
          </w:p>
        </w:tc>
      </w:tr>
    </w:tbl>
    <w:p w:rsidR="00AA0309" w:rsidRDefault="00AA0309" w:rsidP="00AA0309">
      <w:pPr>
        <w:pStyle w:val="Kuvatxt"/>
      </w:pPr>
    </w:p>
    <w:p w:rsidR="00AA0309" w:rsidRDefault="00AA0309" w:rsidP="00AA0309">
      <w:pPr>
        <w:pStyle w:val="Kuvatxt"/>
        <w:spacing w:before="60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C0933BF" wp14:editId="18131369">
            <wp:simplePos x="0" y="0"/>
            <wp:positionH relativeFrom="column">
              <wp:posOffset>-69850</wp:posOffset>
            </wp:positionH>
            <wp:positionV relativeFrom="paragraph">
              <wp:posOffset>10160</wp:posOffset>
            </wp:positionV>
            <wp:extent cx="5621020" cy="2423160"/>
            <wp:effectExtent l="19050" t="19050" r="17780" b="15240"/>
            <wp:wrapTopAndBottom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öytä_prosessi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" t="1815" r="927" b="1998"/>
                    <a:stretch/>
                  </pic:blipFill>
                  <pic:spPr bwMode="auto">
                    <a:xfrm>
                      <a:off x="0" y="0"/>
                      <a:ext cx="5621020" cy="242316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9BBB5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146">
        <w:rPr>
          <w:rFonts w:cs="Arial"/>
          <w:b/>
          <w:color w:val="9BBB59" w:themeColor="accent3"/>
          <w:sz w:val="20"/>
        </w:rPr>
        <w:t>Kuva 2.</w:t>
      </w:r>
      <w:r w:rsidRPr="005A7146">
        <w:rPr>
          <w:rFonts w:cs="Arial"/>
          <w:b/>
        </w:rPr>
        <w:t xml:space="preserve"> </w:t>
      </w:r>
      <w:r w:rsidRPr="00B90D48">
        <w:rPr>
          <w:rFonts w:cs="Arial"/>
          <w:color w:val="auto"/>
          <w:sz w:val="20"/>
        </w:rPr>
        <w:t xml:space="preserve">Yksinkertaistettu prosessikaavio mallintamisen tueksi. </w:t>
      </w:r>
    </w:p>
    <w:p w:rsidR="00AA0309" w:rsidRPr="00FB3FF2" w:rsidRDefault="00AA0309" w:rsidP="00AA0309">
      <w:pPr>
        <w:spacing w:after="120"/>
        <w:jc w:val="both"/>
        <w:rPr>
          <w:rStyle w:val="otsikko"/>
          <w:rFonts w:eastAsiaTheme="majorEastAsia" w:cs="Arial"/>
          <w:b/>
          <w:color w:val="9BBB59" w:themeColor="accent3"/>
          <w:sz w:val="28"/>
        </w:rPr>
      </w:pPr>
    </w:p>
    <w:p w:rsidR="00AA0309" w:rsidRDefault="00AA0309" w:rsidP="00AA0309">
      <w:pPr>
        <w:spacing w:after="120"/>
        <w:jc w:val="both"/>
        <w:rPr>
          <w:rStyle w:val="otsikko"/>
          <w:rFonts w:eastAsiaTheme="majorEastAsia" w:cs="Arial"/>
          <w:b/>
          <w:color w:val="9BBB59" w:themeColor="accent3"/>
          <w:sz w:val="28"/>
        </w:rPr>
      </w:pPr>
    </w:p>
    <w:p w:rsidR="00AA0309" w:rsidRDefault="00AA0309" w:rsidP="00AA0309">
      <w:pPr>
        <w:spacing w:after="120"/>
        <w:jc w:val="both"/>
        <w:rPr>
          <w:rStyle w:val="otsikko"/>
          <w:rFonts w:eastAsiaTheme="majorEastAsia" w:cs="Arial"/>
          <w:b/>
          <w:color w:val="9BBB59" w:themeColor="accent3"/>
          <w:sz w:val="28"/>
        </w:rPr>
      </w:pPr>
      <w:r w:rsidRPr="00D9602C">
        <w:rPr>
          <w:rStyle w:val="otsikko"/>
          <w:rFonts w:eastAsiaTheme="majorEastAsia" w:cs="Arial"/>
          <w:b/>
          <w:color w:val="9BBB59" w:themeColor="accent3"/>
          <w:sz w:val="28"/>
        </w:rPr>
        <w:t>Rajaukset</w:t>
      </w:r>
    </w:p>
    <w:p w:rsidR="00AA0309" w:rsidRPr="004F4D55" w:rsidRDefault="00AA0309" w:rsidP="00AA0309">
      <w:pPr>
        <w:jc w:val="both"/>
        <w:rPr>
          <w:rStyle w:val="otsikko"/>
          <w:rFonts w:eastAsiaTheme="majorEastAsia" w:cs="Arial"/>
          <w:szCs w:val="22"/>
        </w:rPr>
      </w:pPr>
      <w:r>
        <w:rPr>
          <w:szCs w:val="22"/>
        </w:rPr>
        <w:t xml:space="preserve">Ruuvaukseen ja ruiskumaalaukseen tarvittavan sähkön määrä arvioitiin työajan ja laitteiden tehon perusteella. </w:t>
      </w:r>
      <w:r>
        <w:rPr>
          <w:rStyle w:val="otsikko"/>
          <w:rFonts w:eastAsiaTheme="majorEastAsia" w:cs="Arial"/>
          <w:szCs w:val="22"/>
        </w:rPr>
        <w:t xml:space="preserve">Pakkausmateriaalien ja alumiinin oletettiin olevan neitseellisiä materiaaleja. </w:t>
      </w:r>
    </w:p>
    <w:p w:rsidR="00AA0309" w:rsidRDefault="00AA0309" w:rsidP="00AA0309">
      <w:pPr>
        <w:rPr>
          <w:rStyle w:val="otsikko"/>
          <w:rFonts w:cs="Arial"/>
          <w:color w:val="9BBB59" w:themeColor="accent3"/>
        </w:rPr>
      </w:pPr>
    </w:p>
    <w:p w:rsidR="00AA0309" w:rsidRPr="00FF2D11" w:rsidRDefault="00AA0309" w:rsidP="00AA0309">
      <w:pPr>
        <w:pStyle w:val="Otsikko1"/>
        <w:spacing w:after="120"/>
        <w:rPr>
          <w:rStyle w:val="otsikko"/>
          <w:rFonts w:ascii="Arial" w:hAnsi="Arial" w:cs="Arial"/>
          <w:b w:val="0"/>
          <w:color w:val="9BBB59" w:themeColor="accent3"/>
        </w:rPr>
      </w:pPr>
      <w:r w:rsidRPr="00FF2D11">
        <w:rPr>
          <w:rStyle w:val="otsikko"/>
          <w:rFonts w:ascii="Arial" w:hAnsi="Arial" w:cs="Arial"/>
          <w:color w:val="9BBB59" w:themeColor="accent3"/>
        </w:rPr>
        <w:t xml:space="preserve">4 </w:t>
      </w:r>
      <w:r>
        <w:rPr>
          <w:rStyle w:val="otsikko"/>
          <w:rFonts w:ascii="Arial" w:hAnsi="Arial" w:cs="Arial"/>
          <w:color w:val="9BBB59" w:themeColor="accent3"/>
        </w:rPr>
        <w:t>Ilmastovaikutukset</w:t>
      </w:r>
    </w:p>
    <w:p w:rsidR="00AA0309" w:rsidRDefault="00AA0309" w:rsidP="00AA0309">
      <w:pPr>
        <w:jc w:val="both"/>
        <w:rPr>
          <w:rFonts w:cs="Arial"/>
          <w:sz w:val="20"/>
        </w:rPr>
      </w:pPr>
      <w:r w:rsidRPr="00CB56B2">
        <w:rPr>
          <w:rFonts w:cs="Arial"/>
        </w:rPr>
        <w:t xml:space="preserve">Yksinkertaistetun </w:t>
      </w:r>
      <w:proofErr w:type="spellStart"/>
      <w:r w:rsidRPr="00CB56B2">
        <w:rPr>
          <w:rFonts w:cs="Arial"/>
        </w:rPr>
        <w:t>LCA-arvioinnin</w:t>
      </w:r>
      <w:proofErr w:type="spellEnd"/>
      <w:r w:rsidRPr="00CB56B2">
        <w:rPr>
          <w:rFonts w:cs="Arial"/>
        </w:rPr>
        <w:t xml:space="preserve"> myötä tarkastelussa </w:t>
      </w:r>
      <w:r>
        <w:rPr>
          <w:rFonts w:cs="Arial"/>
        </w:rPr>
        <w:t>keskityttiin ilmastovaikutuksiin</w:t>
      </w:r>
      <w:r w:rsidRPr="00CB56B2">
        <w:rPr>
          <w:rFonts w:cs="Arial"/>
        </w:rPr>
        <w:t>. Tulokset on esitetty hiilidioksidi-ekvivalenttina (CO</w:t>
      </w:r>
      <w:r w:rsidRPr="00CB56B2">
        <w:rPr>
          <w:rFonts w:cs="Arial"/>
          <w:vertAlign w:val="subscript"/>
        </w:rPr>
        <w:t>2</w:t>
      </w:r>
      <w:r w:rsidRPr="00CB56B2">
        <w:rPr>
          <w:rFonts w:cs="Arial"/>
        </w:rPr>
        <w:t>-ekv.) eli kaikkien ilmaston</w:t>
      </w:r>
      <w:r>
        <w:rPr>
          <w:rFonts w:cs="Arial"/>
        </w:rPr>
        <w:t>-</w:t>
      </w:r>
      <w:r w:rsidRPr="00CB56B2">
        <w:rPr>
          <w:rFonts w:cs="Arial"/>
        </w:rPr>
        <w:t xml:space="preserve">muutokseen vaikuttavien kasvihuonekaasupäästöjen (esim. hiilidioksidi, metaani, </w:t>
      </w:r>
      <w:proofErr w:type="spellStart"/>
      <w:r w:rsidRPr="00CB56B2">
        <w:rPr>
          <w:rFonts w:cs="Arial"/>
        </w:rPr>
        <w:t>dityppimonoksidi</w:t>
      </w:r>
      <w:proofErr w:type="spellEnd"/>
      <w:r w:rsidRPr="00CB56B2">
        <w:rPr>
          <w:rFonts w:cs="Arial"/>
        </w:rPr>
        <w:t xml:space="preserve">) </w:t>
      </w:r>
      <w:proofErr w:type="spellStart"/>
      <w:r w:rsidRPr="00CB56B2">
        <w:rPr>
          <w:rFonts w:cs="Arial"/>
        </w:rPr>
        <w:t>yhteismitallistettuna</w:t>
      </w:r>
      <w:proofErr w:type="spellEnd"/>
      <w:r w:rsidRPr="00CB56B2">
        <w:rPr>
          <w:rFonts w:cs="Arial"/>
        </w:rPr>
        <w:t xml:space="preserve"> summana. Kullakin kasvihuonekaasulla on oma lämmityspotentiaalikerroin (</w:t>
      </w:r>
      <w:proofErr w:type="spellStart"/>
      <w:r w:rsidRPr="00CB56B2">
        <w:rPr>
          <w:rFonts w:cs="Arial"/>
        </w:rPr>
        <w:t>global</w:t>
      </w:r>
      <w:proofErr w:type="spellEnd"/>
      <w:r w:rsidRPr="00CB56B2">
        <w:rPr>
          <w:rFonts w:cs="Arial"/>
        </w:rPr>
        <w:t xml:space="preserve"> </w:t>
      </w:r>
      <w:proofErr w:type="spellStart"/>
      <w:r w:rsidRPr="00CB56B2">
        <w:rPr>
          <w:rFonts w:cs="Arial"/>
        </w:rPr>
        <w:t>warming</w:t>
      </w:r>
      <w:proofErr w:type="spellEnd"/>
      <w:r w:rsidRPr="00CB56B2">
        <w:rPr>
          <w:rFonts w:cs="Arial"/>
        </w:rPr>
        <w:t xml:space="preserve"> </w:t>
      </w:r>
      <w:proofErr w:type="spellStart"/>
      <w:r w:rsidRPr="00CB56B2">
        <w:rPr>
          <w:rFonts w:cs="Arial"/>
        </w:rPr>
        <w:t>potential</w:t>
      </w:r>
      <w:proofErr w:type="spellEnd"/>
      <w:r w:rsidRPr="00CB56B2">
        <w:rPr>
          <w:rFonts w:cs="Arial"/>
        </w:rPr>
        <w:t xml:space="preserve"> eli </w:t>
      </w:r>
      <w:proofErr w:type="spellStart"/>
      <w:r w:rsidRPr="00CB56B2">
        <w:rPr>
          <w:rFonts w:cs="Arial"/>
        </w:rPr>
        <w:t>GWP-kerroin</w:t>
      </w:r>
      <w:proofErr w:type="spellEnd"/>
      <w:r w:rsidRPr="00CB56B2">
        <w:rPr>
          <w:rFonts w:cs="Arial"/>
        </w:rPr>
        <w:t xml:space="preserve">), joka huomioi kaasujen viipymäajat ilmakehässä sekä kaasujen lämpösäteilyn läpäisyominaisuudet ilmakehässä. Kasvihuonekaasun määrä suhteutetaan hiilidioksidin lämmitysvaikutukseen tietyllä ajanjaksolla (yleensä 100 vuotta). Esimerkiksi metaanin </w:t>
      </w:r>
      <w:proofErr w:type="spellStart"/>
      <w:r w:rsidRPr="00CB56B2">
        <w:rPr>
          <w:rFonts w:cs="Arial"/>
        </w:rPr>
        <w:t>GWP-kerroin</w:t>
      </w:r>
      <w:proofErr w:type="spellEnd"/>
      <w:r w:rsidRPr="00CB56B2">
        <w:rPr>
          <w:rFonts w:cs="Arial"/>
        </w:rPr>
        <w:t xml:space="preserve"> sadan vuoden ajalta kumulatiivisesti laskettuna on 2</w:t>
      </w:r>
      <w:r>
        <w:rPr>
          <w:rFonts w:cs="Arial"/>
        </w:rPr>
        <w:t>8</w:t>
      </w:r>
      <w:r w:rsidRPr="00CB56B2">
        <w:rPr>
          <w:rFonts w:cs="Arial"/>
        </w:rPr>
        <w:t>, eli metaanin lämmitysvaikutus on 2</w:t>
      </w:r>
      <w:r>
        <w:rPr>
          <w:rFonts w:cs="Arial"/>
        </w:rPr>
        <w:t>8</w:t>
      </w:r>
      <w:r w:rsidRPr="00CB56B2">
        <w:rPr>
          <w:rFonts w:cs="Arial"/>
        </w:rPr>
        <w:t>-kertainen hiilidioksidiin verrattuna.</w:t>
      </w:r>
      <w:r w:rsidRPr="00CB56B2">
        <w:rPr>
          <w:rStyle w:val="Alaviitteenviite"/>
          <w:rFonts w:cs="Arial"/>
        </w:rPr>
        <w:footnoteReference w:id="3"/>
      </w:r>
      <w:r w:rsidRPr="002D5920">
        <w:rPr>
          <w:rFonts w:cs="Arial"/>
          <w:vertAlign w:val="superscript"/>
        </w:rPr>
        <w:t>,</w:t>
      </w:r>
      <w:r>
        <w:rPr>
          <w:rStyle w:val="Alaviitteenviite"/>
          <w:rFonts w:cs="Arial"/>
        </w:rPr>
        <w:footnoteReference w:id="4"/>
      </w:r>
      <w:r>
        <w:rPr>
          <w:rFonts w:cs="Arial"/>
          <w:vertAlign w:val="superscript"/>
        </w:rPr>
        <w:t xml:space="preserve"> </w:t>
      </w:r>
    </w:p>
    <w:p w:rsidR="00AA0309" w:rsidRDefault="00AA0309" w:rsidP="00AA0309">
      <w:pPr>
        <w:rPr>
          <w:rFonts w:cs="Arial"/>
          <w:sz w:val="20"/>
        </w:rPr>
      </w:pP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  <w:r w:rsidRPr="006325AB">
        <w:rPr>
          <w:rFonts w:cs="Arial"/>
        </w:rPr>
        <w:t>Arvioinn</w:t>
      </w:r>
      <w:r>
        <w:rPr>
          <w:rFonts w:cs="Arial"/>
        </w:rPr>
        <w:t xml:space="preserve">in tulokset on esitetty taulukossa 2. </w:t>
      </w: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  <w:rPr>
          <w:b/>
          <w:color w:val="9BBB59" w:themeColor="accent3"/>
        </w:rPr>
      </w:pPr>
    </w:p>
    <w:p w:rsidR="00AA0309" w:rsidRDefault="00AA0309" w:rsidP="00AA0309">
      <w:pPr>
        <w:pStyle w:val="Eivli"/>
        <w:spacing w:before="360" w:after="80"/>
        <w:contextualSpacing/>
      </w:pPr>
      <w:r>
        <w:rPr>
          <w:b/>
          <w:color w:val="9BBB59" w:themeColor="accent3"/>
        </w:rPr>
        <w:lastRenderedPageBreak/>
        <w:t>Taulukko 2</w:t>
      </w:r>
      <w:r w:rsidRPr="00F23B59">
        <w:rPr>
          <w:b/>
          <w:color w:val="9BBB59" w:themeColor="accent3"/>
        </w:rPr>
        <w:t>.</w:t>
      </w:r>
      <w:r>
        <w:rPr>
          <w:color w:val="9BBB59" w:themeColor="accent3"/>
        </w:rPr>
        <w:t xml:space="preserve"> </w:t>
      </w:r>
      <w:r>
        <w:t>Pöydän valmistukseen ja pakkaamiseen liittyvät ilmastovaikutukset (Pöytä Oy)</w:t>
      </w:r>
      <w:r w:rsidRPr="00F23B59">
        <w:t>.</w:t>
      </w:r>
    </w:p>
    <w:p w:rsidR="00B15579" w:rsidRDefault="00B15579" w:rsidP="00AA0309">
      <w:pPr>
        <w:pStyle w:val="Eivli"/>
        <w:spacing w:before="360" w:after="80"/>
        <w:contextualSpacing/>
      </w:pPr>
      <w:r>
        <w:rPr>
          <w:noProof/>
          <w:lang w:eastAsia="fi-FI"/>
        </w:rPr>
        <w:drawing>
          <wp:inline distT="0" distB="0" distL="0" distR="0" wp14:anchorId="1BE22CCF" wp14:editId="53AA0124">
            <wp:extent cx="5943600" cy="2587625"/>
            <wp:effectExtent l="19050" t="19050" r="19050" b="222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625"/>
                    </a:xfrm>
                    <a:prstGeom prst="rect">
                      <a:avLst/>
                    </a:prstGeom>
                    <a:ln w="12700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AA0309" w:rsidRPr="000A2F3C" w:rsidRDefault="00AA0309" w:rsidP="00AA0309">
      <w:pPr>
        <w:pStyle w:val="Eivli"/>
        <w:spacing w:before="360" w:after="80"/>
        <w:contextualSpacing/>
        <w:rPr>
          <w:vanish/>
          <w:specVanish/>
        </w:rPr>
      </w:pPr>
    </w:p>
    <w:p w:rsidR="00AA0309" w:rsidRDefault="00AA0309" w:rsidP="00AA0309">
      <w:pPr>
        <w:jc w:val="both"/>
        <w:rPr>
          <w:rFonts w:cs="Arial"/>
          <w:szCs w:val="22"/>
        </w:rPr>
      </w:pP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Yhden pöydän valmistuksesta ja pakkaamisesta aiheutuvat ilmastovaikutukset ovat noin</w:t>
      </w:r>
      <w:r w:rsidR="00B70AA4">
        <w:rPr>
          <w:rFonts w:cs="Arial"/>
        </w:rPr>
        <w:t xml:space="preserve"> 7,3</w:t>
      </w:r>
      <w:r>
        <w:rPr>
          <w:rFonts w:cs="Arial"/>
        </w:rPr>
        <w:t xml:space="preserve"> kg CO</w:t>
      </w:r>
      <w:r w:rsidRPr="008A21E8">
        <w:rPr>
          <w:rFonts w:cs="Arial"/>
          <w:vertAlign w:val="subscript"/>
        </w:rPr>
        <w:t>2</w:t>
      </w:r>
      <w:r>
        <w:rPr>
          <w:rFonts w:cs="Arial"/>
        </w:rPr>
        <w:t>-ekv. joka vastaa noi</w:t>
      </w:r>
      <w:r w:rsidR="00B70AA4">
        <w:rPr>
          <w:rFonts w:cs="Arial"/>
        </w:rPr>
        <w:t>n 43,7</w:t>
      </w:r>
      <w:r>
        <w:rPr>
          <w:rFonts w:cs="Arial"/>
        </w:rPr>
        <w:t xml:space="preserve"> km henkilöautolla ajoa Suomessa</w:t>
      </w:r>
      <w:r>
        <w:rPr>
          <w:rStyle w:val="Alaviitteenviite"/>
          <w:rFonts w:cs="Arial"/>
        </w:rPr>
        <w:footnoteReference w:id="5"/>
      </w:r>
      <w:r>
        <w:rPr>
          <w:rFonts w:cs="Arial"/>
        </w:rPr>
        <w:t xml:space="preserve">. </w:t>
      </w: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Muoviosat aiheuttavat merkittävän osan ilmastovaikutuksista (PE-LD -muovin valmistus </w:t>
      </w:r>
      <w:r w:rsidR="00B70AA4">
        <w:rPr>
          <w:rFonts w:cs="Arial"/>
        </w:rPr>
        <w:t>26,6</w:t>
      </w:r>
      <w:r>
        <w:rPr>
          <w:rFonts w:cs="Arial"/>
        </w:rPr>
        <w:t xml:space="preserve"> % </w:t>
      </w:r>
      <w:r w:rsidR="00B70AA4">
        <w:rPr>
          <w:rFonts w:cs="Arial"/>
        </w:rPr>
        <w:t>ja ruiskuvalu 15,1 %) eli yhteensä 41</w:t>
      </w:r>
      <w:r>
        <w:rPr>
          <w:rFonts w:cs="Arial"/>
        </w:rPr>
        <w:t>,7 % ilmastovaikutuksista. Alum</w:t>
      </w:r>
      <w:r w:rsidR="00B70AA4">
        <w:rPr>
          <w:rFonts w:cs="Arial"/>
        </w:rPr>
        <w:t>iinin valmistuksen osuus on 23,4</w:t>
      </w:r>
      <w:r>
        <w:rPr>
          <w:rFonts w:cs="Arial"/>
        </w:rPr>
        <w:t xml:space="preserve"> % ja alumiinin työstämisen os</w:t>
      </w:r>
      <w:r w:rsidR="00B70AA4">
        <w:rPr>
          <w:rFonts w:cs="Arial"/>
        </w:rPr>
        <w:t>uus 5,6 % eli yhteensä 29,0</w:t>
      </w:r>
      <w:r>
        <w:rPr>
          <w:rFonts w:cs="Arial"/>
        </w:rPr>
        <w:t xml:space="preserve"> %. Pakkausmat</w:t>
      </w:r>
      <w:r w:rsidR="00B70AA4">
        <w:rPr>
          <w:rFonts w:cs="Arial"/>
        </w:rPr>
        <w:t>eriaalien osuus on yhteensä 15,4</w:t>
      </w:r>
      <w:r>
        <w:rPr>
          <w:rFonts w:cs="Arial"/>
        </w:rPr>
        <w:t xml:space="preserve"> %, joka jakaantuu </w:t>
      </w:r>
      <w:r w:rsidR="00B70AA4">
        <w:rPr>
          <w:rFonts w:cs="Arial"/>
        </w:rPr>
        <w:t>pahvilaatikon (14,9</w:t>
      </w:r>
      <w:r>
        <w:rPr>
          <w:rFonts w:cs="Arial"/>
        </w:rPr>
        <w:t xml:space="preserve"> %) ja muovikalvon (0,5 %) aiheuttamiin vaikutuksiin. Kuljetusten osuus yhteensä </w:t>
      </w:r>
      <w:r w:rsidR="00B70AA4">
        <w:rPr>
          <w:rFonts w:cs="Arial"/>
        </w:rPr>
        <w:t>5,0</w:t>
      </w:r>
      <w:r>
        <w:rPr>
          <w:rFonts w:cs="Arial"/>
        </w:rPr>
        <w:t xml:space="preserve"> %. Kuljetusten ilmastovaikutuksista suurin osa aiheutuu teräsosien kuljetuksesta meriteitse. Ruiskumaalauksessa</w:t>
      </w:r>
      <w:r w:rsidR="00B70AA4">
        <w:rPr>
          <w:rFonts w:cs="Arial"/>
        </w:rPr>
        <w:t xml:space="preserve"> käytettävän maalin osuus on 3,5</w:t>
      </w:r>
      <w:r>
        <w:rPr>
          <w:rFonts w:cs="Arial"/>
        </w:rPr>
        <w:t xml:space="preserve"> % ilmastovaikutuksista</w:t>
      </w:r>
      <w:r w:rsidRPr="0052275D">
        <w:rPr>
          <w:rFonts w:cs="Arial"/>
        </w:rPr>
        <w:t xml:space="preserve"> </w:t>
      </w:r>
      <w:r w:rsidR="00B70AA4">
        <w:rPr>
          <w:rFonts w:cs="Arial"/>
        </w:rPr>
        <w:t>ja sähkön osuus 3,0</w:t>
      </w:r>
      <w:r>
        <w:rPr>
          <w:rFonts w:cs="Arial"/>
        </w:rPr>
        <w:t xml:space="preserve"> %</w:t>
      </w:r>
      <w:r w:rsidR="00B70AA4">
        <w:rPr>
          <w:rFonts w:cs="Arial"/>
        </w:rPr>
        <w:t xml:space="preserve"> ja lämmityksen osuus 2,4 %</w:t>
      </w:r>
      <w:r>
        <w:rPr>
          <w:rFonts w:cs="Arial"/>
        </w:rPr>
        <w:t>. Ru</w:t>
      </w:r>
      <w:r w:rsidR="00B70AA4">
        <w:rPr>
          <w:rFonts w:cs="Arial"/>
        </w:rPr>
        <w:t>uvien valmistuksen osuus on 0,03</w:t>
      </w:r>
      <w:r>
        <w:rPr>
          <w:rFonts w:cs="Arial"/>
        </w:rPr>
        <w:t xml:space="preserve"> %. </w:t>
      </w: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</w:p>
    <w:p w:rsidR="00B70AA4" w:rsidRDefault="00B70AA4" w:rsidP="00AA030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Kaikkiaan raaka-aineiden osuus ilmastovaikutuksista on 74,2 %, pakkaamisen (sis. pakkausmateriaalit) 15,4 %, kuljetusten 5,0 %, sähkön 3,0 %, lämmön 2,4 %.</w:t>
      </w:r>
    </w:p>
    <w:p w:rsidR="00AA0309" w:rsidRDefault="00AA0309" w:rsidP="00AA0309">
      <w:pPr>
        <w:pStyle w:val="Otsikko1"/>
        <w:ind w:left="284" w:hanging="284"/>
        <w:rPr>
          <w:rFonts w:ascii="Arial" w:hAnsi="Arial" w:cs="Arial"/>
          <w:color w:val="9BBB59" w:themeColor="accent3"/>
        </w:rPr>
      </w:pPr>
      <w:r>
        <w:rPr>
          <w:rFonts w:ascii="Arial" w:hAnsi="Arial" w:cs="Arial"/>
          <w:color w:val="9BBB59" w:themeColor="accent3"/>
        </w:rPr>
        <w:t>5 Yhteenveto tuloksista ja toimenpide-ehdotukset</w:t>
      </w: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252525"/>
          <w:szCs w:val="21"/>
        </w:rPr>
        <w:t xml:space="preserve">Pöytä Oy:n yhden pöydän valmistuksen ja pakkaamisen ilmastovaikutukset ovat yhteensä </w:t>
      </w:r>
      <w:r>
        <w:rPr>
          <w:rFonts w:cs="Arial"/>
        </w:rPr>
        <w:t>noin 7,1 kg CO</w:t>
      </w:r>
      <w:r w:rsidRPr="008A21E8">
        <w:rPr>
          <w:rFonts w:cs="Arial"/>
          <w:vertAlign w:val="subscript"/>
        </w:rPr>
        <w:t>2</w:t>
      </w:r>
      <w:r>
        <w:rPr>
          <w:rFonts w:cs="Arial"/>
        </w:rPr>
        <w:t>-ekv. joka vastaa noin 42,5 km henkilöautolla ajoa Suomessa</w:t>
      </w:r>
      <w:r w:rsidRPr="006F09C8">
        <w:rPr>
          <w:rFonts w:cs="Arial"/>
          <w:vertAlign w:val="superscript"/>
        </w:rPr>
        <w:t>5</w:t>
      </w:r>
      <w:r>
        <w:rPr>
          <w:rFonts w:cs="Arial"/>
        </w:rPr>
        <w:t xml:space="preserve">. </w:t>
      </w:r>
    </w:p>
    <w:p w:rsidR="00AA0309" w:rsidRDefault="00AA0309" w:rsidP="00AA0309">
      <w:pPr>
        <w:autoSpaceDE w:val="0"/>
        <w:autoSpaceDN w:val="0"/>
        <w:adjustRightInd w:val="0"/>
        <w:jc w:val="both"/>
        <w:rPr>
          <w:rFonts w:cs="Arial"/>
        </w:rPr>
      </w:pPr>
    </w:p>
    <w:p w:rsidR="00AA0309" w:rsidRDefault="00AA0309" w:rsidP="00AA0309">
      <w:pPr>
        <w:autoSpaceDE w:val="0"/>
        <w:autoSpaceDN w:val="0"/>
        <w:adjustRightInd w:val="0"/>
        <w:jc w:val="both"/>
      </w:pPr>
      <w:r>
        <w:t>Ilmastovaikutuksia voitaisiin pienentää käyttämällä kierrätettyä alumiinia tai vähäpäästöisempää materiaalia. Sähkön vaihtaminen uusiutuvilla energialähteillä tuotettuun vihreään sähköön pienent</w:t>
      </w:r>
      <w:r w:rsidR="009A110B">
        <w:t>äisi ilmastovaikutuksia noin 3,0</w:t>
      </w:r>
      <w:r>
        <w:t xml:space="preserve"> %. Lisäksi muovimateriaalin (</w:t>
      </w:r>
      <w:proofErr w:type="spellStart"/>
      <w:r>
        <w:t>korkeatiheyksinen</w:t>
      </w:r>
      <w:proofErr w:type="spellEnd"/>
      <w:r>
        <w:t xml:space="preserve"> polyeteeni) vaihtaminen esimerkiksi kierrätysmuoviin pienentäisi ilmastovaikutuksia. </w:t>
      </w:r>
    </w:p>
    <w:p w:rsidR="00AA0309" w:rsidRPr="00AA0309" w:rsidRDefault="00AA0309" w:rsidP="00AA0309">
      <w:pPr>
        <w:autoSpaceDE w:val="0"/>
        <w:autoSpaceDN w:val="0"/>
        <w:adjustRightInd w:val="0"/>
        <w:jc w:val="both"/>
        <w:sectPr w:rsidR="00AA0309" w:rsidRPr="00AA0309" w:rsidSect="006731A1">
          <w:footerReference w:type="default" r:id="rId13"/>
          <w:pgSz w:w="11906" w:h="16838" w:code="9"/>
          <w:pgMar w:top="567" w:right="567" w:bottom="567" w:left="1134" w:header="567" w:footer="431" w:gutter="0"/>
          <w:cols w:space="708"/>
          <w:titlePg/>
          <w:docGrid w:linePitch="360"/>
        </w:sect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  <w:rPr>
          <w:rFonts w:cs="Arial"/>
          <w:b/>
          <w:szCs w:val="24"/>
          <w:u w:val="single"/>
        </w:rPr>
      </w:pPr>
    </w:p>
    <w:p w:rsidR="00AA0309" w:rsidRDefault="00AA0309" w:rsidP="00AA0309">
      <w:pPr>
        <w:jc w:val="both"/>
      </w:pPr>
      <w:r w:rsidRPr="003448BD">
        <w:rPr>
          <w:rFonts w:cs="Arial"/>
          <w:b/>
          <w:szCs w:val="24"/>
          <w:u w:val="single"/>
        </w:rPr>
        <w:t>Huomio!</w:t>
      </w:r>
      <w:r w:rsidRPr="003448BD">
        <w:rPr>
          <w:rFonts w:cs="Arial"/>
          <w:szCs w:val="24"/>
        </w:rPr>
        <w:t xml:space="preserve"> Arvioinnin tulokset perustuvat yrityksen toimittamiin inventaariotietoihin arvioitavasta prosessista. Raportti on tarkoitettu käytettäväksi tutkimus- ja tuotekehitystehtäviin ja yrityksen päätöksenteon tueksi. Raporttia </w:t>
      </w:r>
      <w:r w:rsidRPr="003448BD">
        <w:rPr>
          <w:rFonts w:cs="Arial"/>
          <w:szCs w:val="24"/>
          <w:u w:val="single"/>
        </w:rPr>
        <w:t>ei saa</w:t>
      </w:r>
      <w:r w:rsidRPr="003448BD">
        <w:rPr>
          <w:rFonts w:cs="Arial"/>
          <w:szCs w:val="24"/>
        </w:rPr>
        <w:t xml:space="preserve"> käyttää markkinointitarkoituksiin tai suoraan kommunikointiin kuluttajien kanssa, sillä näitä tarkoituksia varten tulee tehdä </w:t>
      </w:r>
      <w:proofErr w:type="spellStart"/>
      <w:r w:rsidRPr="003448BD">
        <w:rPr>
          <w:rFonts w:cs="Arial"/>
          <w:szCs w:val="24"/>
        </w:rPr>
        <w:t>ISO-standardin</w:t>
      </w:r>
      <w:proofErr w:type="spellEnd"/>
      <w:r w:rsidRPr="003448BD">
        <w:rPr>
          <w:rFonts w:cs="Arial"/>
          <w:szCs w:val="24"/>
        </w:rPr>
        <w:t xml:space="preserve"> mukainen, </w:t>
      </w:r>
      <w:r>
        <w:rPr>
          <w:rFonts w:cs="Arial"/>
          <w:szCs w:val="24"/>
        </w:rPr>
        <w:t>y</w:t>
      </w:r>
      <w:r w:rsidRPr="003448BD">
        <w:rPr>
          <w:rFonts w:cs="Arial"/>
          <w:szCs w:val="24"/>
        </w:rPr>
        <w:t>ksityiskohtaisempi elinkaariarviointi</w:t>
      </w:r>
      <w:r>
        <w:rPr>
          <w:rFonts w:cs="Arial"/>
          <w:szCs w:val="24"/>
        </w:rPr>
        <w:t>.</w:t>
      </w:r>
    </w:p>
    <w:p w:rsidR="00AA0309" w:rsidRDefault="00AA0309" w:rsidP="00AA0309"/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5451BC" w:rsidRDefault="005451BC" w:rsidP="00360ACA">
      <w:pPr>
        <w:jc w:val="both"/>
        <w:rPr>
          <w:rFonts w:cs="Arial"/>
          <w:b/>
          <w:szCs w:val="24"/>
          <w:u w:val="single"/>
        </w:rPr>
      </w:pPr>
    </w:p>
    <w:p w:rsidR="00360ACA" w:rsidRDefault="00360ACA" w:rsidP="001D4F15">
      <w:pPr>
        <w:jc w:val="both"/>
        <w:rPr>
          <w:b/>
          <w:color w:val="9BBB59" w:themeColor="accent3"/>
          <w:sz w:val="24"/>
        </w:rPr>
      </w:pPr>
    </w:p>
    <w:p w:rsidR="00360ACA" w:rsidRDefault="00360ACA" w:rsidP="001D4F15">
      <w:pPr>
        <w:jc w:val="both"/>
        <w:rPr>
          <w:b/>
          <w:color w:val="9BBB59" w:themeColor="accent3"/>
          <w:sz w:val="24"/>
        </w:rPr>
      </w:pPr>
    </w:p>
    <w:p w:rsidR="009141DF" w:rsidRDefault="009141DF" w:rsidP="001D4F15">
      <w:pPr>
        <w:jc w:val="both"/>
        <w:rPr>
          <w:b/>
          <w:color w:val="9BBB59" w:themeColor="accent3"/>
          <w:sz w:val="24"/>
        </w:rPr>
      </w:pPr>
    </w:p>
    <w:p w:rsidR="009141DF" w:rsidRDefault="009141DF" w:rsidP="001D4F15">
      <w:pPr>
        <w:jc w:val="both"/>
        <w:rPr>
          <w:b/>
          <w:color w:val="9BBB59" w:themeColor="accent3"/>
          <w:sz w:val="24"/>
        </w:rPr>
      </w:pPr>
    </w:p>
    <w:p w:rsidR="00304F6F" w:rsidRDefault="00304F6F">
      <w:pPr>
        <w:rPr>
          <w:b/>
          <w:color w:val="9BBB59" w:themeColor="accent3"/>
          <w:sz w:val="24"/>
        </w:rPr>
      </w:pPr>
    </w:p>
    <w:p w:rsidR="00304F6F" w:rsidRPr="00304F6F" w:rsidRDefault="00304F6F" w:rsidP="00304F6F">
      <w:pPr>
        <w:rPr>
          <w:sz w:val="24"/>
        </w:rPr>
      </w:pPr>
    </w:p>
    <w:p w:rsidR="00304F6F" w:rsidRPr="00304F6F" w:rsidRDefault="00304F6F" w:rsidP="00304F6F">
      <w:pPr>
        <w:rPr>
          <w:sz w:val="24"/>
        </w:rPr>
      </w:pPr>
    </w:p>
    <w:p w:rsidR="00304F6F" w:rsidRPr="00304F6F" w:rsidRDefault="00304F6F" w:rsidP="00304F6F">
      <w:pPr>
        <w:rPr>
          <w:sz w:val="24"/>
        </w:rPr>
      </w:pPr>
    </w:p>
    <w:p w:rsidR="00304F6F" w:rsidRPr="00304F6F" w:rsidRDefault="00AA0309" w:rsidP="00304F6F">
      <w:pPr>
        <w:rPr>
          <w:sz w:val="24"/>
        </w:rPr>
      </w:pPr>
      <w:r w:rsidRPr="00044189">
        <w:rPr>
          <w:b/>
          <w:noProof/>
          <w:color w:val="9BBB59" w:themeColor="accent3"/>
          <w:sz w:val="28"/>
          <w:highlight w:val="yellow"/>
          <w:lang w:eastAsia="fi-FI"/>
        </w:rPr>
        <w:drawing>
          <wp:anchor distT="0" distB="0" distL="114300" distR="114300" simplePos="0" relativeHeight="251676672" behindDoc="1" locked="0" layoutInCell="1" allowOverlap="1" wp14:anchorId="0E672ED5" wp14:editId="277C5156">
            <wp:simplePos x="0" y="0"/>
            <wp:positionH relativeFrom="column">
              <wp:posOffset>531495</wp:posOffset>
            </wp:positionH>
            <wp:positionV relativeFrom="paragraph">
              <wp:posOffset>67310</wp:posOffset>
            </wp:positionV>
            <wp:extent cx="6210300" cy="1120140"/>
            <wp:effectExtent l="0" t="0" r="0" b="0"/>
            <wp:wrapTight wrapText="bothSides">
              <wp:wrapPolygon edited="0">
                <wp:start x="6758" y="1837"/>
                <wp:lineTo x="0" y="4041"/>
                <wp:lineTo x="0" y="20939"/>
                <wp:lineTo x="6957" y="20939"/>
                <wp:lineTo x="6957" y="20204"/>
                <wp:lineTo x="21534" y="18000"/>
                <wp:lineTo x="21534" y="2939"/>
                <wp:lineTo x="10204" y="1837"/>
                <wp:lineTo x="6758" y="1837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ivi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3D4">
        <w:rPr>
          <w:noProof/>
          <w:lang w:eastAsia="fi-FI"/>
        </w:rPr>
        <w:drawing>
          <wp:anchor distT="0" distB="0" distL="114300" distR="114300" simplePos="0" relativeHeight="251678720" behindDoc="1" locked="0" layoutInCell="1" allowOverlap="1" wp14:anchorId="1AD6D30F" wp14:editId="3E6BB786">
            <wp:simplePos x="0" y="0"/>
            <wp:positionH relativeFrom="column">
              <wp:posOffset>-386715</wp:posOffset>
            </wp:positionH>
            <wp:positionV relativeFrom="paragraph">
              <wp:posOffset>167640</wp:posOffset>
            </wp:positionV>
            <wp:extent cx="990600" cy="920750"/>
            <wp:effectExtent l="0" t="0" r="0" b="0"/>
            <wp:wrapTight wrapText="bothSides">
              <wp:wrapPolygon edited="0">
                <wp:start x="8723" y="0"/>
                <wp:lineTo x="2492" y="3128"/>
                <wp:lineTo x="0" y="5363"/>
                <wp:lineTo x="0" y="11619"/>
                <wp:lineTo x="2492" y="14301"/>
                <wp:lineTo x="831" y="15194"/>
                <wp:lineTo x="1662" y="18323"/>
                <wp:lineTo x="6646" y="21004"/>
                <wp:lineTo x="14123" y="21004"/>
                <wp:lineTo x="19108" y="18770"/>
                <wp:lineTo x="19938" y="16088"/>
                <wp:lineTo x="17031" y="14301"/>
                <wp:lineTo x="21185" y="11619"/>
                <wp:lineTo x="21185" y="5363"/>
                <wp:lineTo x="14954" y="894"/>
                <wp:lineTo x="11215" y="0"/>
                <wp:lineTo x="8723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F6F" w:rsidRPr="00304F6F" w:rsidSect="006731A1">
      <w:pgSz w:w="11906" w:h="16838" w:code="9"/>
      <w:pgMar w:top="567" w:right="567" w:bottom="567" w:left="1134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3B" w:rsidRDefault="00853D3B" w:rsidP="00C54D23">
      <w:r>
        <w:separator/>
      </w:r>
    </w:p>
  </w:endnote>
  <w:endnote w:type="continuationSeparator" w:id="0">
    <w:p w:rsidR="00853D3B" w:rsidRDefault="00853D3B" w:rsidP="00C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1A" w:rsidRPr="006731A1" w:rsidRDefault="00FB2D1A" w:rsidP="00126EF9">
    <w:pPr>
      <w:pStyle w:val="Alatunniste"/>
      <w:tabs>
        <w:tab w:val="clear" w:pos="9026"/>
        <w:tab w:val="right" w:pos="8789"/>
      </w:tabs>
      <w:rPr>
        <w:rFonts w:asciiTheme="minorHAnsi" w:hAnsiTheme="minorHAnsi"/>
        <w:color w:val="000000" w:themeColor="text1"/>
        <w:sz w:val="12"/>
        <w:szCs w:val="24"/>
      </w:rPr>
    </w:pPr>
    <w:r w:rsidRPr="00617014">
      <w:rPr>
        <w:rFonts w:asciiTheme="minorHAnsi" w:hAnsiTheme="minorHAnsi"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B9D1B" wp14:editId="7F96E4D4">
              <wp:simplePos x="0" y="0"/>
              <wp:positionH relativeFrom="margin">
                <wp:posOffset>5039792</wp:posOffset>
              </wp:positionH>
              <wp:positionV relativeFrom="bottomMargin">
                <wp:posOffset>41610</wp:posOffset>
              </wp:positionV>
              <wp:extent cx="1508760" cy="395605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2D1A" w:rsidRPr="00F40C3B" w:rsidRDefault="00FB2D1A">
                          <w:pPr>
                            <w:pStyle w:val="Alatunnist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F40C3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F40C3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F40C3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162AB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5</w:t>
                          </w:r>
                          <w:r w:rsidRPr="00F40C3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396.85pt;margin-top:3.3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" filled="f" stroked="f" strokeweight=".5pt">
              <v:textbox style="mso-fit-shape-to-text:t">
                <w:txbxContent>
                  <w:p w:rsidR="00FB2D1A" w:rsidRPr="00F40C3B" w:rsidRDefault="00FB2D1A">
                    <w:pPr>
                      <w:pStyle w:val="Alatunniste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F40C3B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F40C3B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F40C3B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162AB3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5</w:t>
                    </w:r>
                    <w:r w:rsidRPr="00F40C3B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B2D1A" w:rsidRPr="00617014" w:rsidRDefault="00FB2D1A" w:rsidP="00126EF9">
    <w:pPr>
      <w:pStyle w:val="Alatunniste"/>
      <w:tabs>
        <w:tab w:val="clear" w:pos="9026"/>
        <w:tab w:val="right" w:pos="8789"/>
      </w:tabs>
      <w:rPr>
        <w:rFonts w:asciiTheme="minorHAnsi" w:hAnsiTheme="minorHAnsi"/>
      </w:rPr>
    </w:pPr>
    <w:r w:rsidRPr="00617014">
      <w:rPr>
        <w:rFonts w:asciiTheme="minorHAnsi" w:hAnsiTheme="minorHAnsi"/>
        <w:noProof/>
        <w:color w:val="9BBB59" w:themeColor="accent3"/>
        <w:lang w:eastAsia="fi-F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D598EB" wp14:editId="4F584B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78" name="Rectangl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" fillcolor="#9bbb59 [3206]" stroked="f" strokeweight="2pt">
              <w10:wrap type="square" anchorx="margin" anchory="margin"/>
            </v:rect>
          </w:pict>
        </mc:Fallback>
      </mc:AlternateContent>
    </w:r>
    <w:r w:rsidRPr="00617014">
      <w:rPr>
        <w:rFonts w:asciiTheme="minorHAnsi" w:hAnsiTheme="minorHAnsi"/>
        <w:color w:val="000000" w:themeColor="text1"/>
        <w:sz w:val="24"/>
        <w:szCs w:val="24"/>
      </w:rPr>
      <w:t>Toimintamalli yritysten elinkaaristen ym</w:t>
    </w:r>
    <w:r>
      <w:rPr>
        <w:rFonts w:asciiTheme="minorHAnsi" w:hAnsiTheme="minorHAnsi"/>
        <w:color w:val="000000" w:themeColor="text1"/>
        <w:sz w:val="24"/>
        <w:szCs w:val="24"/>
      </w:rPr>
      <w:t>päristövaikutusten kehittämiseksi</w:t>
    </w:r>
    <w:r w:rsidRPr="00617014">
      <w:rPr>
        <w:rFonts w:asciiTheme="minorHAnsi" w:hAnsiTheme="minorHAnsi"/>
        <w:color w:val="000000" w:themeColor="text1"/>
        <w:sz w:val="24"/>
        <w:szCs w:val="24"/>
      </w:rPr>
      <w:t xml:space="preserve"> (MALLI-Y)</w:t>
    </w:r>
    <w:r w:rsidRPr="00617014">
      <w:rPr>
        <w:rFonts w:asciiTheme="minorHAnsi" w:hAnsiTheme="minorHAnsi"/>
        <w:color w:val="000000" w:themeColor="text1"/>
        <w:sz w:val="24"/>
        <w:szCs w:val="24"/>
      </w:rPr>
      <w:tab/>
      <w:t xml:space="preserve"> </w:t>
    </w:r>
    <w:r>
      <w:rPr>
        <w:rFonts w:asciiTheme="minorHAnsi" w:hAnsiTheme="minorHAnsi"/>
        <w:color w:val="000000" w:themeColor="text1"/>
        <w:sz w:val="24"/>
        <w:szCs w:val="24"/>
      </w:rPr>
      <w:t xml:space="preserve">      </w:t>
    </w:r>
    <w:r w:rsidRPr="00617014">
      <w:rPr>
        <w:rFonts w:asciiTheme="minorHAnsi" w:hAnsiTheme="minorHAnsi"/>
        <w:color w:val="000000" w:themeColor="text1"/>
        <w:sz w:val="24"/>
        <w:szCs w:val="24"/>
      </w:rPr>
      <w:t>SYKE 201</w:t>
    </w:r>
    <w:r w:rsidR="00AA0309">
      <w:rPr>
        <w:rFonts w:asciiTheme="minorHAnsi" w:hAnsiTheme="minorHAnsi"/>
        <w:color w:val="000000" w:themeColor="text1"/>
        <w:sz w:val="24"/>
        <w:szCs w:val="24"/>
      </w:rPr>
      <w:t>7</w:t>
    </w:r>
  </w:p>
  <w:p w:rsidR="00FB2D1A" w:rsidRDefault="00FB2D1A">
    <w:pPr>
      <w:pStyle w:val="Alatunniste"/>
    </w:pPr>
  </w:p>
  <w:p w:rsidR="00FB2D1A" w:rsidRDefault="00FB2D1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3B" w:rsidRDefault="00853D3B" w:rsidP="00C54D23">
      <w:r>
        <w:separator/>
      </w:r>
    </w:p>
  </w:footnote>
  <w:footnote w:type="continuationSeparator" w:id="0">
    <w:p w:rsidR="00853D3B" w:rsidRDefault="00853D3B" w:rsidP="00C54D23">
      <w:r>
        <w:continuationSeparator/>
      </w:r>
    </w:p>
  </w:footnote>
  <w:footnote w:id="1">
    <w:p w:rsidR="00AA0309" w:rsidRDefault="00AA0309" w:rsidP="00AA0309">
      <w:pPr>
        <w:spacing w:after="80"/>
        <w:ind w:left="142" w:hanging="142"/>
        <w:jc w:val="both"/>
      </w:pPr>
      <w:r>
        <w:rPr>
          <w:rStyle w:val="Alaviitteenviite"/>
        </w:rPr>
        <w:footnoteRef/>
      </w:r>
      <w:r>
        <w:t xml:space="preserve"> </w:t>
      </w:r>
      <w:r w:rsidRPr="001D4F15">
        <w:rPr>
          <w:rFonts w:cs="Arial"/>
          <w:sz w:val="20"/>
        </w:rPr>
        <w:t xml:space="preserve">Tämä näkökulma huomioi muutosten aiheuttamat vaikutukset ympäristöön keskinkertaisiksi muiden näkökulmien mallintaessa vaikutukset voimakkaammin. </w:t>
      </w:r>
    </w:p>
  </w:footnote>
  <w:footnote w:id="2">
    <w:p w:rsidR="00AA0309" w:rsidRPr="00162540" w:rsidRDefault="00AA0309" w:rsidP="00AA0309">
      <w:pPr>
        <w:pStyle w:val="Alaviitteenteksti"/>
      </w:pPr>
      <w:r>
        <w:rPr>
          <w:rStyle w:val="Alaviitteenviite"/>
        </w:rPr>
        <w:footnoteRef/>
      </w:r>
      <w:r w:rsidRPr="00162540">
        <w:t xml:space="preserve"> </w:t>
      </w:r>
      <w:hyperlink r:id="rId1" w:history="1">
        <w:r w:rsidRPr="00162540">
          <w:rPr>
            <w:rStyle w:val="Hyperlinkki"/>
            <w:rFonts w:eastAsiaTheme="majorEastAsia"/>
          </w:rPr>
          <w:t>http://lipasto.vtt.fi/</w:t>
        </w:r>
      </w:hyperlink>
      <w:r>
        <w:t xml:space="preserve"> (viitattu 17.10.2016</w:t>
      </w:r>
      <w:r w:rsidRPr="00162540">
        <w:t>)</w:t>
      </w:r>
    </w:p>
  </w:footnote>
  <w:footnote w:id="3">
    <w:p w:rsidR="00AA0309" w:rsidRDefault="00AA0309" w:rsidP="00AA0309">
      <w:pPr>
        <w:pStyle w:val="Alaviitteenteksti"/>
        <w:spacing w:after="80"/>
      </w:pPr>
      <w:r>
        <w:rPr>
          <w:rStyle w:val="Alaviitteenviite"/>
        </w:rPr>
        <w:footnoteRef/>
      </w:r>
      <w:r>
        <w:t xml:space="preserve"> </w:t>
      </w:r>
      <w:r w:rsidRPr="005E29E0">
        <w:rPr>
          <w:rFonts w:eastAsiaTheme="majorEastAsia"/>
          <w:iCs/>
        </w:rPr>
        <w:t>http://www.tieteentermipankki.fi/wiki/Geofysiikka:lämmityspotentiaali</w:t>
      </w:r>
      <w:r>
        <w:rPr>
          <w:iCs/>
        </w:rPr>
        <w:t>, viitattu 12.9.2017</w:t>
      </w:r>
      <w:r w:rsidRPr="00EB51F2">
        <w:rPr>
          <w:iCs/>
        </w:rPr>
        <w:t>.</w:t>
      </w:r>
    </w:p>
  </w:footnote>
  <w:footnote w:id="4">
    <w:p w:rsidR="00AA0309" w:rsidRPr="00FB3FF2" w:rsidRDefault="00AA0309" w:rsidP="00AA0309">
      <w:pPr>
        <w:pStyle w:val="Lhteet"/>
        <w:ind w:left="142" w:hanging="142"/>
        <w:rPr>
          <w:lang w:val="en-US"/>
        </w:rPr>
      </w:pPr>
      <w:r>
        <w:rPr>
          <w:rStyle w:val="Alaviitteenviite"/>
        </w:rPr>
        <w:footnoteRef/>
      </w:r>
      <w:r>
        <w:t xml:space="preserve"> </w:t>
      </w:r>
      <w:proofErr w:type="spellStart"/>
      <w:r w:rsidRPr="005E29E0">
        <w:rPr>
          <w:rFonts w:ascii="Arial" w:hAnsi="Arial" w:cs="Arial"/>
          <w:sz w:val="20"/>
          <w:szCs w:val="20"/>
        </w:rPr>
        <w:t>Myhre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5E29E0">
        <w:rPr>
          <w:rFonts w:ascii="Arial" w:hAnsi="Arial" w:cs="Arial"/>
          <w:sz w:val="20"/>
          <w:szCs w:val="20"/>
        </w:rPr>
        <w:t>Shindell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5E29E0">
        <w:rPr>
          <w:rFonts w:ascii="Arial" w:hAnsi="Arial" w:cs="Arial"/>
          <w:sz w:val="20"/>
          <w:szCs w:val="20"/>
        </w:rPr>
        <w:t>Bréon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F.-M., Collins, W., </w:t>
      </w:r>
      <w:proofErr w:type="spellStart"/>
      <w:r w:rsidRPr="005E29E0">
        <w:rPr>
          <w:rFonts w:ascii="Arial" w:hAnsi="Arial" w:cs="Arial"/>
          <w:sz w:val="20"/>
          <w:szCs w:val="20"/>
        </w:rPr>
        <w:t>Fuglestvedt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J., Huang, J., </w:t>
      </w:r>
      <w:proofErr w:type="spellStart"/>
      <w:r w:rsidRPr="005E29E0">
        <w:rPr>
          <w:rFonts w:ascii="Arial" w:hAnsi="Arial" w:cs="Arial"/>
          <w:sz w:val="20"/>
          <w:szCs w:val="20"/>
        </w:rPr>
        <w:t>Kohc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5E29E0">
        <w:rPr>
          <w:rFonts w:ascii="Arial" w:hAnsi="Arial" w:cs="Arial"/>
          <w:sz w:val="20"/>
          <w:szCs w:val="20"/>
        </w:rPr>
        <w:t>Lamarque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J.-F., Lee, D., </w:t>
      </w:r>
      <w:proofErr w:type="spellStart"/>
      <w:r w:rsidRPr="005E29E0">
        <w:rPr>
          <w:rFonts w:ascii="Arial" w:hAnsi="Arial" w:cs="Arial"/>
          <w:sz w:val="20"/>
          <w:szCs w:val="20"/>
        </w:rPr>
        <w:t>Mendoza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B., </w:t>
      </w:r>
      <w:proofErr w:type="spellStart"/>
      <w:r w:rsidRPr="005E29E0">
        <w:rPr>
          <w:rFonts w:ascii="Arial" w:hAnsi="Arial" w:cs="Arial"/>
          <w:sz w:val="20"/>
          <w:szCs w:val="20"/>
        </w:rPr>
        <w:t>Nakajima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T., </w:t>
      </w:r>
      <w:proofErr w:type="spellStart"/>
      <w:r w:rsidRPr="005E29E0">
        <w:rPr>
          <w:rFonts w:ascii="Arial" w:hAnsi="Arial" w:cs="Arial"/>
          <w:sz w:val="20"/>
          <w:szCs w:val="20"/>
        </w:rPr>
        <w:t>Robock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5E29E0">
        <w:rPr>
          <w:rFonts w:ascii="Arial" w:hAnsi="Arial" w:cs="Arial"/>
          <w:sz w:val="20"/>
          <w:szCs w:val="20"/>
        </w:rPr>
        <w:t>Stephens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5E29E0">
        <w:rPr>
          <w:rFonts w:ascii="Arial" w:hAnsi="Arial" w:cs="Arial"/>
          <w:sz w:val="20"/>
          <w:szCs w:val="20"/>
        </w:rPr>
        <w:t>Takemura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T. &amp; </w:t>
      </w:r>
      <w:proofErr w:type="spellStart"/>
      <w:r w:rsidRPr="005E29E0">
        <w:rPr>
          <w:rFonts w:ascii="Arial" w:hAnsi="Arial" w:cs="Arial"/>
          <w:sz w:val="20"/>
          <w:szCs w:val="20"/>
        </w:rPr>
        <w:t>Zhang</w:t>
      </w:r>
      <w:proofErr w:type="spellEnd"/>
      <w:r w:rsidRPr="005E29E0">
        <w:rPr>
          <w:rFonts w:ascii="Arial" w:hAnsi="Arial" w:cs="Arial"/>
          <w:sz w:val="20"/>
          <w:szCs w:val="20"/>
        </w:rPr>
        <w:t xml:space="preserve">, H. 2013. </w:t>
      </w:r>
      <w:proofErr w:type="gramStart"/>
      <w:r w:rsidRPr="005E29E0">
        <w:rPr>
          <w:rFonts w:ascii="Arial" w:hAnsi="Arial" w:cs="Arial"/>
          <w:sz w:val="20"/>
          <w:szCs w:val="20"/>
          <w:lang w:val="en-US"/>
        </w:rPr>
        <w:t>Anthropogenic and Natural Radiative Forcing.</w:t>
      </w:r>
      <w:proofErr w:type="gramEnd"/>
      <w:r w:rsidRPr="005E29E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E29E0">
        <w:rPr>
          <w:rFonts w:ascii="Arial" w:hAnsi="Arial" w:cs="Arial"/>
          <w:sz w:val="20"/>
          <w:szCs w:val="20"/>
          <w:lang w:val="en-US"/>
        </w:rPr>
        <w:t>Julk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>.:</w:t>
      </w:r>
      <w:proofErr w:type="gramEnd"/>
      <w:r w:rsidRPr="005E29E0">
        <w:rPr>
          <w:rFonts w:ascii="Arial" w:hAnsi="Arial" w:cs="Arial"/>
          <w:sz w:val="20"/>
          <w:szCs w:val="20"/>
          <w:lang w:val="en-US"/>
        </w:rPr>
        <w:t xml:space="preserve"> Stocker, T.F., Qin, D., 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Plattner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 xml:space="preserve">, G.-K., 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Tignor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 xml:space="preserve">, M, Allen, S.K., 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Boschung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 xml:space="preserve">, J., 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Nauels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 xml:space="preserve">, A, Xia, Y, 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Bex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 xml:space="preserve">, V. &amp; 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Midgley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>, P.M. (</w:t>
      </w:r>
      <w:proofErr w:type="spellStart"/>
      <w:r w:rsidRPr="005E29E0">
        <w:rPr>
          <w:rFonts w:ascii="Arial" w:hAnsi="Arial" w:cs="Arial"/>
          <w:sz w:val="20"/>
          <w:szCs w:val="20"/>
          <w:lang w:val="en-US"/>
        </w:rPr>
        <w:t>eds</w:t>
      </w:r>
      <w:proofErr w:type="spellEnd"/>
      <w:r w:rsidRPr="005E29E0">
        <w:rPr>
          <w:rFonts w:ascii="Arial" w:hAnsi="Arial" w:cs="Arial"/>
          <w:sz w:val="20"/>
          <w:szCs w:val="20"/>
          <w:lang w:val="en-US"/>
        </w:rPr>
        <w:t xml:space="preserve">). Climate Change 2013: The Physical Science Basis. </w:t>
      </w:r>
      <w:proofErr w:type="gramStart"/>
      <w:r w:rsidRPr="005E29E0">
        <w:rPr>
          <w:rFonts w:ascii="Arial" w:hAnsi="Arial" w:cs="Arial"/>
          <w:sz w:val="20"/>
          <w:szCs w:val="20"/>
          <w:lang w:val="en-US"/>
        </w:rPr>
        <w:t>Cambridge University Press.</w:t>
      </w:r>
      <w:proofErr w:type="gramEnd"/>
      <w:r w:rsidRPr="005E29E0">
        <w:rPr>
          <w:rFonts w:ascii="Arial" w:hAnsi="Arial" w:cs="Arial"/>
          <w:sz w:val="20"/>
          <w:szCs w:val="20"/>
          <w:lang w:val="en-US"/>
        </w:rPr>
        <w:t xml:space="preserve"> S. 659-740. </w:t>
      </w:r>
      <w:r w:rsidRPr="00FB3FF2">
        <w:rPr>
          <w:rFonts w:ascii="Arial" w:hAnsi="Arial" w:cs="Arial"/>
          <w:sz w:val="20"/>
          <w:szCs w:val="20"/>
          <w:lang w:val="en-US"/>
        </w:rPr>
        <w:t xml:space="preserve">http://www.ipcc.ch/report/ar5/wg1/, </w:t>
      </w:r>
      <w:proofErr w:type="spellStart"/>
      <w:r w:rsidRPr="00FB3FF2">
        <w:rPr>
          <w:rFonts w:ascii="Arial" w:hAnsi="Arial" w:cs="Arial"/>
          <w:sz w:val="20"/>
          <w:szCs w:val="20"/>
          <w:lang w:val="en-US"/>
        </w:rPr>
        <w:t>viitattu</w:t>
      </w:r>
      <w:proofErr w:type="spellEnd"/>
      <w:r w:rsidRPr="00FB3FF2">
        <w:rPr>
          <w:rFonts w:ascii="Arial" w:hAnsi="Arial" w:cs="Arial"/>
          <w:sz w:val="20"/>
          <w:szCs w:val="20"/>
          <w:lang w:val="en-US"/>
        </w:rPr>
        <w:t xml:space="preserve"> 12.9.2017.</w:t>
      </w:r>
    </w:p>
  </w:footnote>
  <w:footnote w:id="5">
    <w:p w:rsidR="00AA0309" w:rsidRDefault="00AA0309" w:rsidP="00AA0309">
      <w:pPr>
        <w:pStyle w:val="Alaviitteenteksti"/>
        <w:ind w:left="142" w:hanging="142"/>
      </w:pPr>
      <w:r>
        <w:rPr>
          <w:rStyle w:val="Alaviitteenviite"/>
        </w:rPr>
        <w:footnoteRef/>
      </w:r>
      <w:r>
        <w:t xml:space="preserve"> Perustuu vuoden 2011 tietoihin (167 g CO</w:t>
      </w:r>
      <w:r w:rsidRPr="006C71C9">
        <w:rPr>
          <w:vertAlign w:val="subscript"/>
        </w:rPr>
        <w:t>2</w:t>
      </w:r>
      <w:r>
        <w:t xml:space="preserve">-ekv./km) Suomen henkilöautojen keskimääräisistä päästöistä </w:t>
      </w:r>
      <w:proofErr w:type="gramStart"/>
      <w:r>
        <w:t>ja  energiankulutuksesta</w:t>
      </w:r>
      <w:proofErr w:type="gramEnd"/>
      <w:r>
        <w:t xml:space="preserve"> </w:t>
      </w:r>
      <w:hyperlink r:id="rId2" w:history="1">
        <w:r w:rsidRPr="00B65727">
          <w:rPr>
            <w:rStyle w:val="Hyperlinkki"/>
            <w:rFonts w:eastAsiaTheme="majorEastAsia"/>
          </w:rPr>
          <w:t>http://lipasto.vtt.fi/yksikkopaastot/henkiloliikenne/tieliikenne/henkiloautot/hayht.htm</w:t>
        </w:r>
      </w:hyperlink>
      <w:r>
        <w:t xml:space="preserve"> (viitattu 12.5.2017).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940"/>
    <w:multiLevelType w:val="hybridMultilevel"/>
    <w:tmpl w:val="38CC4B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632"/>
    <w:multiLevelType w:val="hybridMultilevel"/>
    <w:tmpl w:val="F6E07A98"/>
    <w:lvl w:ilvl="0" w:tplc="E3BC69B0">
      <w:start w:val="8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0F9"/>
    <w:multiLevelType w:val="hybridMultilevel"/>
    <w:tmpl w:val="2F44D314"/>
    <w:lvl w:ilvl="0" w:tplc="4E441BE2">
      <w:start w:val="2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034"/>
    <w:multiLevelType w:val="hybridMultilevel"/>
    <w:tmpl w:val="D06C549E"/>
    <w:lvl w:ilvl="0" w:tplc="73CCE312">
      <w:start w:val="8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07424"/>
    <w:multiLevelType w:val="hybridMultilevel"/>
    <w:tmpl w:val="BC5A7A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D24F4"/>
    <w:multiLevelType w:val="hybridMultilevel"/>
    <w:tmpl w:val="DF30F13C"/>
    <w:lvl w:ilvl="0" w:tplc="E3C0E626">
      <w:start w:val="2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8AB"/>
    <w:multiLevelType w:val="hybridMultilevel"/>
    <w:tmpl w:val="54EA2442"/>
    <w:lvl w:ilvl="0" w:tplc="859E9388">
      <w:start w:val="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7C4"/>
    <w:multiLevelType w:val="hybridMultilevel"/>
    <w:tmpl w:val="39668C58"/>
    <w:lvl w:ilvl="0" w:tplc="991A0DB6">
      <w:start w:val="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C"/>
    <w:rsid w:val="00000438"/>
    <w:rsid w:val="00003A62"/>
    <w:rsid w:val="000057C6"/>
    <w:rsid w:val="00006A32"/>
    <w:rsid w:val="00012C06"/>
    <w:rsid w:val="00015EE8"/>
    <w:rsid w:val="00025F09"/>
    <w:rsid w:val="000267F6"/>
    <w:rsid w:val="00027C83"/>
    <w:rsid w:val="000378D5"/>
    <w:rsid w:val="00040266"/>
    <w:rsid w:val="00040BE2"/>
    <w:rsid w:val="00043677"/>
    <w:rsid w:val="00043B40"/>
    <w:rsid w:val="00052053"/>
    <w:rsid w:val="00052CCB"/>
    <w:rsid w:val="00055FE5"/>
    <w:rsid w:val="000566D5"/>
    <w:rsid w:val="00056FE4"/>
    <w:rsid w:val="00066A23"/>
    <w:rsid w:val="0006754D"/>
    <w:rsid w:val="00070FDB"/>
    <w:rsid w:val="0008746A"/>
    <w:rsid w:val="000A012A"/>
    <w:rsid w:val="000A23CC"/>
    <w:rsid w:val="000A2F3C"/>
    <w:rsid w:val="000B4816"/>
    <w:rsid w:val="000C31AD"/>
    <w:rsid w:val="000C384C"/>
    <w:rsid w:val="000C74DE"/>
    <w:rsid w:val="000D28FE"/>
    <w:rsid w:val="000D3FB1"/>
    <w:rsid w:val="000D49D3"/>
    <w:rsid w:val="000E0CA9"/>
    <w:rsid w:val="000E3755"/>
    <w:rsid w:val="000E41E4"/>
    <w:rsid w:val="000F2213"/>
    <w:rsid w:val="000F2C30"/>
    <w:rsid w:val="000F2C8D"/>
    <w:rsid w:val="000F4672"/>
    <w:rsid w:val="000F4C3F"/>
    <w:rsid w:val="000F7C6E"/>
    <w:rsid w:val="001048EF"/>
    <w:rsid w:val="00116A3E"/>
    <w:rsid w:val="00121A1B"/>
    <w:rsid w:val="00126EF9"/>
    <w:rsid w:val="0013113E"/>
    <w:rsid w:val="00131818"/>
    <w:rsid w:val="00133A01"/>
    <w:rsid w:val="00135BF5"/>
    <w:rsid w:val="001367B9"/>
    <w:rsid w:val="001378F1"/>
    <w:rsid w:val="00141758"/>
    <w:rsid w:val="00142E52"/>
    <w:rsid w:val="00151A7F"/>
    <w:rsid w:val="00155B18"/>
    <w:rsid w:val="001572E4"/>
    <w:rsid w:val="00162AB3"/>
    <w:rsid w:val="00163AB8"/>
    <w:rsid w:val="001645F7"/>
    <w:rsid w:val="001657A8"/>
    <w:rsid w:val="00167CE0"/>
    <w:rsid w:val="001826EE"/>
    <w:rsid w:val="00184474"/>
    <w:rsid w:val="00187624"/>
    <w:rsid w:val="00191206"/>
    <w:rsid w:val="00197FBB"/>
    <w:rsid w:val="001A72C3"/>
    <w:rsid w:val="001B416D"/>
    <w:rsid w:val="001B4BB6"/>
    <w:rsid w:val="001C12D9"/>
    <w:rsid w:val="001C1AAD"/>
    <w:rsid w:val="001C4FDF"/>
    <w:rsid w:val="001C541F"/>
    <w:rsid w:val="001D056F"/>
    <w:rsid w:val="001D1F2B"/>
    <w:rsid w:val="001D2B45"/>
    <w:rsid w:val="001D4F15"/>
    <w:rsid w:val="001D51A2"/>
    <w:rsid w:val="001D5BDF"/>
    <w:rsid w:val="001E4DA1"/>
    <w:rsid w:val="001E50CB"/>
    <w:rsid w:val="001F34EC"/>
    <w:rsid w:val="001F53B3"/>
    <w:rsid w:val="00202772"/>
    <w:rsid w:val="00203ED5"/>
    <w:rsid w:val="00225599"/>
    <w:rsid w:val="00226026"/>
    <w:rsid w:val="0022622C"/>
    <w:rsid w:val="0022716E"/>
    <w:rsid w:val="0023061B"/>
    <w:rsid w:val="00236C99"/>
    <w:rsid w:val="00237C4F"/>
    <w:rsid w:val="00237F96"/>
    <w:rsid w:val="00243CAD"/>
    <w:rsid w:val="00250792"/>
    <w:rsid w:val="002507DC"/>
    <w:rsid w:val="0025727F"/>
    <w:rsid w:val="00267DBD"/>
    <w:rsid w:val="00270880"/>
    <w:rsid w:val="00270DD5"/>
    <w:rsid w:val="00281F69"/>
    <w:rsid w:val="00286674"/>
    <w:rsid w:val="002A268B"/>
    <w:rsid w:val="002A26C6"/>
    <w:rsid w:val="002B1777"/>
    <w:rsid w:val="002C3CCC"/>
    <w:rsid w:val="002C3E0B"/>
    <w:rsid w:val="002D5920"/>
    <w:rsid w:val="002E599F"/>
    <w:rsid w:val="002F7D31"/>
    <w:rsid w:val="00303CF9"/>
    <w:rsid w:val="00304F6F"/>
    <w:rsid w:val="00310D59"/>
    <w:rsid w:val="00312AA3"/>
    <w:rsid w:val="00313116"/>
    <w:rsid w:val="003174D0"/>
    <w:rsid w:val="0032227C"/>
    <w:rsid w:val="00323B54"/>
    <w:rsid w:val="0033252A"/>
    <w:rsid w:val="003329C6"/>
    <w:rsid w:val="00337A68"/>
    <w:rsid w:val="00337EE2"/>
    <w:rsid w:val="003448BD"/>
    <w:rsid w:val="003507E0"/>
    <w:rsid w:val="00353461"/>
    <w:rsid w:val="00353BC6"/>
    <w:rsid w:val="00360ACA"/>
    <w:rsid w:val="00362698"/>
    <w:rsid w:val="00367267"/>
    <w:rsid w:val="003776BA"/>
    <w:rsid w:val="00382956"/>
    <w:rsid w:val="0038564E"/>
    <w:rsid w:val="00392713"/>
    <w:rsid w:val="0039461D"/>
    <w:rsid w:val="00394CAC"/>
    <w:rsid w:val="003950C2"/>
    <w:rsid w:val="0039575E"/>
    <w:rsid w:val="00396153"/>
    <w:rsid w:val="00396C77"/>
    <w:rsid w:val="003A0A1C"/>
    <w:rsid w:val="003A7153"/>
    <w:rsid w:val="003B0D15"/>
    <w:rsid w:val="003B187C"/>
    <w:rsid w:val="003B3450"/>
    <w:rsid w:val="003C1E8D"/>
    <w:rsid w:val="003C7878"/>
    <w:rsid w:val="003D6CD2"/>
    <w:rsid w:val="003D7E39"/>
    <w:rsid w:val="003E4DB2"/>
    <w:rsid w:val="003F0E1E"/>
    <w:rsid w:val="0040101C"/>
    <w:rsid w:val="00401F13"/>
    <w:rsid w:val="00402057"/>
    <w:rsid w:val="0041258E"/>
    <w:rsid w:val="00422648"/>
    <w:rsid w:val="00426F1E"/>
    <w:rsid w:val="00433949"/>
    <w:rsid w:val="0044382E"/>
    <w:rsid w:val="00453304"/>
    <w:rsid w:val="00454B51"/>
    <w:rsid w:val="00454BC8"/>
    <w:rsid w:val="00455AFF"/>
    <w:rsid w:val="004573D9"/>
    <w:rsid w:val="00457F2E"/>
    <w:rsid w:val="00460469"/>
    <w:rsid w:val="00465A8A"/>
    <w:rsid w:val="0048434A"/>
    <w:rsid w:val="00484D6F"/>
    <w:rsid w:val="0048577C"/>
    <w:rsid w:val="00490CB5"/>
    <w:rsid w:val="004956F1"/>
    <w:rsid w:val="004A6B05"/>
    <w:rsid w:val="004A6BB6"/>
    <w:rsid w:val="004B2C7D"/>
    <w:rsid w:val="004B6F00"/>
    <w:rsid w:val="004C0F10"/>
    <w:rsid w:val="004C1C23"/>
    <w:rsid w:val="004D3821"/>
    <w:rsid w:val="004D6CA5"/>
    <w:rsid w:val="004E1871"/>
    <w:rsid w:val="004E3371"/>
    <w:rsid w:val="004E427E"/>
    <w:rsid w:val="004E480B"/>
    <w:rsid w:val="004F1DB9"/>
    <w:rsid w:val="004F3B3C"/>
    <w:rsid w:val="004F4D55"/>
    <w:rsid w:val="00501EEE"/>
    <w:rsid w:val="00503203"/>
    <w:rsid w:val="00506E49"/>
    <w:rsid w:val="00512C4A"/>
    <w:rsid w:val="00515AA4"/>
    <w:rsid w:val="00523332"/>
    <w:rsid w:val="00523C7B"/>
    <w:rsid w:val="00527BFE"/>
    <w:rsid w:val="005375CC"/>
    <w:rsid w:val="00537798"/>
    <w:rsid w:val="005377E0"/>
    <w:rsid w:val="005451BC"/>
    <w:rsid w:val="00546135"/>
    <w:rsid w:val="00546D93"/>
    <w:rsid w:val="00551265"/>
    <w:rsid w:val="00556EE9"/>
    <w:rsid w:val="00557755"/>
    <w:rsid w:val="005604D3"/>
    <w:rsid w:val="005618BC"/>
    <w:rsid w:val="00564CAB"/>
    <w:rsid w:val="0057156F"/>
    <w:rsid w:val="0057377E"/>
    <w:rsid w:val="005756F5"/>
    <w:rsid w:val="005813BB"/>
    <w:rsid w:val="00581938"/>
    <w:rsid w:val="00582CFB"/>
    <w:rsid w:val="00584C9E"/>
    <w:rsid w:val="00592BE3"/>
    <w:rsid w:val="005975C4"/>
    <w:rsid w:val="005A118B"/>
    <w:rsid w:val="005B002C"/>
    <w:rsid w:val="005B41B5"/>
    <w:rsid w:val="005B5E08"/>
    <w:rsid w:val="005C6C0F"/>
    <w:rsid w:val="005D243C"/>
    <w:rsid w:val="005D4CA6"/>
    <w:rsid w:val="005D71AD"/>
    <w:rsid w:val="005E0B94"/>
    <w:rsid w:val="005E6C36"/>
    <w:rsid w:val="005F19AC"/>
    <w:rsid w:val="005F46FF"/>
    <w:rsid w:val="005F5E23"/>
    <w:rsid w:val="00603350"/>
    <w:rsid w:val="00610BD8"/>
    <w:rsid w:val="00611C5A"/>
    <w:rsid w:val="00614933"/>
    <w:rsid w:val="00614A6F"/>
    <w:rsid w:val="00615D23"/>
    <w:rsid w:val="006218FD"/>
    <w:rsid w:val="00624EA7"/>
    <w:rsid w:val="00626A45"/>
    <w:rsid w:val="006312AD"/>
    <w:rsid w:val="006377EA"/>
    <w:rsid w:val="00637F50"/>
    <w:rsid w:val="00641584"/>
    <w:rsid w:val="006416CF"/>
    <w:rsid w:val="00660A47"/>
    <w:rsid w:val="00661EF0"/>
    <w:rsid w:val="0066305C"/>
    <w:rsid w:val="006634D8"/>
    <w:rsid w:val="00663F92"/>
    <w:rsid w:val="006731A1"/>
    <w:rsid w:val="006770A6"/>
    <w:rsid w:val="00677B9B"/>
    <w:rsid w:val="00683B27"/>
    <w:rsid w:val="00684D98"/>
    <w:rsid w:val="00685088"/>
    <w:rsid w:val="0069246A"/>
    <w:rsid w:val="0069459D"/>
    <w:rsid w:val="0069580E"/>
    <w:rsid w:val="0069667D"/>
    <w:rsid w:val="006976EF"/>
    <w:rsid w:val="006A0544"/>
    <w:rsid w:val="006A07E2"/>
    <w:rsid w:val="006A67F6"/>
    <w:rsid w:val="006B0D15"/>
    <w:rsid w:val="006B3154"/>
    <w:rsid w:val="006B3A51"/>
    <w:rsid w:val="006B59AF"/>
    <w:rsid w:val="006C1921"/>
    <w:rsid w:val="006C455C"/>
    <w:rsid w:val="006C6E5A"/>
    <w:rsid w:val="006C7E20"/>
    <w:rsid w:val="006D2B2E"/>
    <w:rsid w:val="006D2FC3"/>
    <w:rsid w:val="006E14D1"/>
    <w:rsid w:val="006E2868"/>
    <w:rsid w:val="006E5918"/>
    <w:rsid w:val="006F04BB"/>
    <w:rsid w:val="006F24F2"/>
    <w:rsid w:val="006F713F"/>
    <w:rsid w:val="006F7DA3"/>
    <w:rsid w:val="00701019"/>
    <w:rsid w:val="00702905"/>
    <w:rsid w:val="00706CFA"/>
    <w:rsid w:val="0072558F"/>
    <w:rsid w:val="0072651D"/>
    <w:rsid w:val="00735993"/>
    <w:rsid w:val="00736E06"/>
    <w:rsid w:val="00742118"/>
    <w:rsid w:val="00742E4D"/>
    <w:rsid w:val="00750AFA"/>
    <w:rsid w:val="00752B61"/>
    <w:rsid w:val="00752DC0"/>
    <w:rsid w:val="00753B66"/>
    <w:rsid w:val="00762198"/>
    <w:rsid w:val="00763AF4"/>
    <w:rsid w:val="0076407F"/>
    <w:rsid w:val="00766B73"/>
    <w:rsid w:val="0077181D"/>
    <w:rsid w:val="00782333"/>
    <w:rsid w:val="007834E8"/>
    <w:rsid w:val="00785C45"/>
    <w:rsid w:val="0078670C"/>
    <w:rsid w:val="00787576"/>
    <w:rsid w:val="007904D0"/>
    <w:rsid w:val="00790872"/>
    <w:rsid w:val="00790BCF"/>
    <w:rsid w:val="00793047"/>
    <w:rsid w:val="007957E8"/>
    <w:rsid w:val="00795DCA"/>
    <w:rsid w:val="007A29D4"/>
    <w:rsid w:val="007A2DB9"/>
    <w:rsid w:val="007A6DA7"/>
    <w:rsid w:val="007B7320"/>
    <w:rsid w:val="007C03B7"/>
    <w:rsid w:val="007C18BB"/>
    <w:rsid w:val="007C2575"/>
    <w:rsid w:val="007C408C"/>
    <w:rsid w:val="007C49A6"/>
    <w:rsid w:val="007C7CC5"/>
    <w:rsid w:val="007D4528"/>
    <w:rsid w:val="007E01AE"/>
    <w:rsid w:val="007E2311"/>
    <w:rsid w:val="007E3C6F"/>
    <w:rsid w:val="007F16B1"/>
    <w:rsid w:val="007F20C9"/>
    <w:rsid w:val="007F20F3"/>
    <w:rsid w:val="00805F90"/>
    <w:rsid w:val="00814CAC"/>
    <w:rsid w:val="0081604D"/>
    <w:rsid w:val="0081666D"/>
    <w:rsid w:val="0082159C"/>
    <w:rsid w:val="00825973"/>
    <w:rsid w:val="00830188"/>
    <w:rsid w:val="00831CE7"/>
    <w:rsid w:val="008350C4"/>
    <w:rsid w:val="008455A5"/>
    <w:rsid w:val="00853D3B"/>
    <w:rsid w:val="008541B1"/>
    <w:rsid w:val="00855299"/>
    <w:rsid w:val="00855B07"/>
    <w:rsid w:val="008574A7"/>
    <w:rsid w:val="008627B5"/>
    <w:rsid w:val="00862B06"/>
    <w:rsid w:val="00864C6C"/>
    <w:rsid w:val="00866B4F"/>
    <w:rsid w:val="008A1CAD"/>
    <w:rsid w:val="008A21E8"/>
    <w:rsid w:val="008A3EBB"/>
    <w:rsid w:val="008A55F4"/>
    <w:rsid w:val="008A5741"/>
    <w:rsid w:val="008A61C0"/>
    <w:rsid w:val="008A7650"/>
    <w:rsid w:val="008D2DF7"/>
    <w:rsid w:val="008D4ED2"/>
    <w:rsid w:val="008D60B3"/>
    <w:rsid w:val="008D6819"/>
    <w:rsid w:val="008E08D5"/>
    <w:rsid w:val="008E0F49"/>
    <w:rsid w:val="008E3868"/>
    <w:rsid w:val="008F6D09"/>
    <w:rsid w:val="0090239D"/>
    <w:rsid w:val="0090333B"/>
    <w:rsid w:val="0090416B"/>
    <w:rsid w:val="00904600"/>
    <w:rsid w:val="00905B2B"/>
    <w:rsid w:val="00906CBB"/>
    <w:rsid w:val="00910950"/>
    <w:rsid w:val="00911481"/>
    <w:rsid w:val="009115AB"/>
    <w:rsid w:val="00911C66"/>
    <w:rsid w:val="00912E10"/>
    <w:rsid w:val="009141DF"/>
    <w:rsid w:val="00916468"/>
    <w:rsid w:val="00917B12"/>
    <w:rsid w:val="009208D5"/>
    <w:rsid w:val="00921393"/>
    <w:rsid w:val="00921CDF"/>
    <w:rsid w:val="009438E6"/>
    <w:rsid w:val="00944B30"/>
    <w:rsid w:val="009460FF"/>
    <w:rsid w:val="00951AE0"/>
    <w:rsid w:val="00951FFF"/>
    <w:rsid w:val="009530B8"/>
    <w:rsid w:val="009547F5"/>
    <w:rsid w:val="00955D95"/>
    <w:rsid w:val="00956DE9"/>
    <w:rsid w:val="009573C0"/>
    <w:rsid w:val="009574FD"/>
    <w:rsid w:val="00964C72"/>
    <w:rsid w:val="00966657"/>
    <w:rsid w:val="00983639"/>
    <w:rsid w:val="0099006D"/>
    <w:rsid w:val="009911B1"/>
    <w:rsid w:val="009945FF"/>
    <w:rsid w:val="00995262"/>
    <w:rsid w:val="00995325"/>
    <w:rsid w:val="009A0262"/>
    <w:rsid w:val="009A110B"/>
    <w:rsid w:val="009A642F"/>
    <w:rsid w:val="009B0C64"/>
    <w:rsid w:val="009C7656"/>
    <w:rsid w:val="009D272F"/>
    <w:rsid w:val="009D4A81"/>
    <w:rsid w:val="009E1CAE"/>
    <w:rsid w:val="009F6521"/>
    <w:rsid w:val="00A008EA"/>
    <w:rsid w:val="00A01A72"/>
    <w:rsid w:val="00A05C31"/>
    <w:rsid w:val="00A06A55"/>
    <w:rsid w:val="00A06E10"/>
    <w:rsid w:val="00A10365"/>
    <w:rsid w:val="00A22F9E"/>
    <w:rsid w:val="00A3336F"/>
    <w:rsid w:val="00A419B2"/>
    <w:rsid w:val="00A5707A"/>
    <w:rsid w:val="00A63385"/>
    <w:rsid w:val="00A64A86"/>
    <w:rsid w:val="00A65522"/>
    <w:rsid w:val="00A66774"/>
    <w:rsid w:val="00A7270F"/>
    <w:rsid w:val="00A73BE5"/>
    <w:rsid w:val="00A83120"/>
    <w:rsid w:val="00A83597"/>
    <w:rsid w:val="00A975FF"/>
    <w:rsid w:val="00AA0309"/>
    <w:rsid w:val="00AA1A6C"/>
    <w:rsid w:val="00AA2ADD"/>
    <w:rsid w:val="00AA2B14"/>
    <w:rsid w:val="00AA3EB4"/>
    <w:rsid w:val="00AA6AEC"/>
    <w:rsid w:val="00AB6545"/>
    <w:rsid w:val="00AC3636"/>
    <w:rsid w:val="00AC7DF4"/>
    <w:rsid w:val="00AE1683"/>
    <w:rsid w:val="00AE4E6A"/>
    <w:rsid w:val="00AF23E4"/>
    <w:rsid w:val="00AF6375"/>
    <w:rsid w:val="00B04921"/>
    <w:rsid w:val="00B07260"/>
    <w:rsid w:val="00B07FED"/>
    <w:rsid w:val="00B1019C"/>
    <w:rsid w:val="00B154E6"/>
    <w:rsid w:val="00B15579"/>
    <w:rsid w:val="00B15DAF"/>
    <w:rsid w:val="00B26285"/>
    <w:rsid w:val="00B31AFB"/>
    <w:rsid w:val="00B43376"/>
    <w:rsid w:val="00B4346F"/>
    <w:rsid w:val="00B441C1"/>
    <w:rsid w:val="00B54B71"/>
    <w:rsid w:val="00B60BB3"/>
    <w:rsid w:val="00B616B9"/>
    <w:rsid w:val="00B70AA4"/>
    <w:rsid w:val="00B76144"/>
    <w:rsid w:val="00B9313B"/>
    <w:rsid w:val="00B961C0"/>
    <w:rsid w:val="00B965F0"/>
    <w:rsid w:val="00BA1BB7"/>
    <w:rsid w:val="00BA7389"/>
    <w:rsid w:val="00BB42AF"/>
    <w:rsid w:val="00BC0717"/>
    <w:rsid w:val="00BC4EA9"/>
    <w:rsid w:val="00BE4B96"/>
    <w:rsid w:val="00BE4C27"/>
    <w:rsid w:val="00BE5450"/>
    <w:rsid w:val="00BE7172"/>
    <w:rsid w:val="00BE7816"/>
    <w:rsid w:val="00BF38D1"/>
    <w:rsid w:val="00C02BCD"/>
    <w:rsid w:val="00C02DC7"/>
    <w:rsid w:val="00C0500C"/>
    <w:rsid w:val="00C074EE"/>
    <w:rsid w:val="00C10769"/>
    <w:rsid w:val="00C135F9"/>
    <w:rsid w:val="00C14002"/>
    <w:rsid w:val="00C20CD1"/>
    <w:rsid w:val="00C21233"/>
    <w:rsid w:val="00C22276"/>
    <w:rsid w:val="00C22C16"/>
    <w:rsid w:val="00C24338"/>
    <w:rsid w:val="00C30993"/>
    <w:rsid w:val="00C30C86"/>
    <w:rsid w:val="00C31EE4"/>
    <w:rsid w:val="00C4027C"/>
    <w:rsid w:val="00C411D6"/>
    <w:rsid w:val="00C42FF8"/>
    <w:rsid w:val="00C4493D"/>
    <w:rsid w:val="00C46D8A"/>
    <w:rsid w:val="00C503C7"/>
    <w:rsid w:val="00C519A8"/>
    <w:rsid w:val="00C54D23"/>
    <w:rsid w:val="00C6271F"/>
    <w:rsid w:val="00C64FBD"/>
    <w:rsid w:val="00C65F3B"/>
    <w:rsid w:val="00C70540"/>
    <w:rsid w:val="00C708BB"/>
    <w:rsid w:val="00C7189C"/>
    <w:rsid w:val="00C74DE8"/>
    <w:rsid w:val="00C84B01"/>
    <w:rsid w:val="00C920A8"/>
    <w:rsid w:val="00C92C24"/>
    <w:rsid w:val="00C959B4"/>
    <w:rsid w:val="00C97264"/>
    <w:rsid w:val="00CA17F3"/>
    <w:rsid w:val="00CA3F91"/>
    <w:rsid w:val="00CA5B1D"/>
    <w:rsid w:val="00CB12C2"/>
    <w:rsid w:val="00CB24B5"/>
    <w:rsid w:val="00CB3185"/>
    <w:rsid w:val="00CB3CA0"/>
    <w:rsid w:val="00CB56B2"/>
    <w:rsid w:val="00CB7574"/>
    <w:rsid w:val="00CC02FB"/>
    <w:rsid w:val="00CC3301"/>
    <w:rsid w:val="00CC5752"/>
    <w:rsid w:val="00CC789E"/>
    <w:rsid w:val="00CD4FD8"/>
    <w:rsid w:val="00CD5526"/>
    <w:rsid w:val="00CE069B"/>
    <w:rsid w:val="00CE702E"/>
    <w:rsid w:val="00CE7743"/>
    <w:rsid w:val="00CF040A"/>
    <w:rsid w:val="00CF3B43"/>
    <w:rsid w:val="00CF47EC"/>
    <w:rsid w:val="00CF6794"/>
    <w:rsid w:val="00D0397F"/>
    <w:rsid w:val="00D11245"/>
    <w:rsid w:val="00D13467"/>
    <w:rsid w:val="00D13D41"/>
    <w:rsid w:val="00D15CD9"/>
    <w:rsid w:val="00D24F30"/>
    <w:rsid w:val="00D31F31"/>
    <w:rsid w:val="00D337F8"/>
    <w:rsid w:val="00D346D8"/>
    <w:rsid w:val="00D4603E"/>
    <w:rsid w:val="00D47F02"/>
    <w:rsid w:val="00D52A1F"/>
    <w:rsid w:val="00D53FC1"/>
    <w:rsid w:val="00D55785"/>
    <w:rsid w:val="00D63077"/>
    <w:rsid w:val="00D63C3D"/>
    <w:rsid w:val="00D64898"/>
    <w:rsid w:val="00D71615"/>
    <w:rsid w:val="00D75F0E"/>
    <w:rsid w:val="00D81D40"/>
    <w:rsid w:val="00D84A0D"/>
    <w:rsid w:val="00D8541A"/>
    <w:rsid w:val="00D9602C"/>
    <w:rsid w:val="00DA351B"/>
    <w:rsid w:val="00DA420D"/>
    <w:rsid w:val="00DA7D34"/>
    <w:rsid w:val="00DB46B7"/>
    <w:rsid w:val="00DB70D9"/>
    <w:rsid w:val="00DC54B7"/>
    <w:rsid w:val="00DC5940"/>
    <w:rsid w:val="00DC6BB0"/>
    <w:rsid w:val="00DD0128"/>
    <w:rsid w:val="00DD0195"/>
    <w:rsid w:val="00DD03D1"/>
    <w:rsid w:val="00DE1D15"/>
    <w:rsid w:val="00DE2F75"/>
    <w:rsid w:val="00DE5DD9"/>
    <w:rsid w:val="00DF71D2"/>
    <w:rsid w:val="00E03EC1"/>
    <w:rsid w:val="00E05A6C"/>
    <w:rsid w:val="00E259E1"/>
    <w:rsid w:val="00E25F46"/>
    <w:rsid w:val="00E32F70"/>
    <w:rsid w:val="00E33D50"/>
    <w:rsid w:val="00E36FA1"/>
    <w:rsid w:val="00E41EDA"/>
    <w:rsid w:val="00E4675D"/>
    <w:rsid w:val="00E50A00"/>
    <w:rsid w:val="00E52AD0"/>
    <w:rsid w:val="00E53DA6"/>
    <w:rsid w:val="00E540F1"/>
    <w:rsid w:val="00E63134"/>
    <w:rsid w:val="00E63B6E"/>
    <w:rsid w:val="00E64108"/>
    <w:rsid w:val="00E65381"/>
    <w:rsid w:val="00E67A20"/>
    <w:rsid w:val="00E738C3"/>
    <w:rsid w:val="00E7548D"/>
    <w:rsid w:val="00E82922"/>
    <w:rsid w:val="00E82E09"/>
    <w:rsid w:val="00E87210"/>
    <w:rsid w:val="00E903B3"/>
    <w:rsid w:val="00E918CA"/>
    <w:rsid w:val="00E974ED"/>
    <w:rsid w:val="00EB1923"/>
    <w:rsid w:val="00EB4403"/>
    <w:rsid w:val="00EC1CF7"/>
    <w:rsid w:val="00EC31B8"/>
    <w:rsid w:val="00EC671A"/>
    <w:rsid w:val="00EC7B26"/>
    <w:rsid w:val="00ED3E67"/>
    <w:rsid w:val="00ED7373"/>
    <w:rsid w:val="00ED75A1"/>
    <w:rsid w:val="00EE17B7"/>
    <w:rsid w:val="00EE4878"/>
    <w:rsid w:val="00EF2FE0"/>
    <w:rsid w:val="00EF4803"/>
    <w:rsid w:val="00F02678"/>
    <w:rsid w:val="00F11F34"/>
    <w:rsid w:val="00F161D9"/>
    <w:rsid w:val="00F16398"/>
    <w:rsid w:val="00F2787A"/>
    <w:rsid w:val="00F33D19"/>
    <w:rsid w:val="00F3429F"/>
    <w:rsid w:val="00F36478"/>
    <w:rsid w:val="00F36F34"/>
    <w:rsid w:val="00F42B87"/>
    <w:rsid w:val="00F6069B"/>
    <w:rsid w:val="00F62BDF"/>
    <w:rsid w:val="00F63E83"/>
    <w:rsid w:val="00F657CD"/>
    <w:rsid w:val="00F6648D"/>
    <w:rsid w:val="00F66C47"/>
    <w:rsid w:val="00F671ED"/>
    <w:rsid w:val="00F7104F"/>
    <w:rsid w:val="00F7570F"/>
    <w:rsid w:val="00F7762A"/>
    <w:rsid w:val="00F80ABC"/>
    <w:rsid w:val="00F84472"/>
    <w:rsid w:val="00F8542D"/>
    <w:rsid w:val="00F91FFD"/>
    <w:rsid w:val="00F9231D"/>
    <w:rsid w:val="00F94938"/>
    <w:rsid w:val="00F95028"/>
    <w:rsid w:val="00FA0BF3"/>
    <w:rsid w:val="00FA174B"/>
    <w:rsid w:val="00FA3D8E"/>
    <w:rsid w:val="00FA422E"/>
    <w:rsid w:val="00FA644E"/>
    <w:rsid w:val="00FB2D1A"/>
    <w:rsid w:val="00FC00F3"/>
    <w:rsid w:val="00FC1132"/>
    <w:rsid w:val="00FC14CD"/>
    <w:rsid w:val="00FC6230"/>
    <w:rsid w:val="00FC6825"/>
    <w:rsid w:val="00FC72F3"/>
    <w:rsid w:val="00FC7561"/>
    <w:rsid w:val="00FD043C"/>
    <w:rsid w:val="00FE309A"/>
    <w:rsid w:val="00FE3D0D"/>
    <w:rsid w:val="00FF0551"/>
    <w:rsid w:val="00FF2D11"/>
    <w:rsid w:val="00FF36D5"/>
    <w:rsid w:val="00FF4E2C"/>
    <w:rsid w:val="00FF5A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670C"/>
  </w:style>
  <w:style w:type="paragraph" w:styleId="Otsikko1">
    <w:name w:val="heading 1"/>
    <w:basedOn w:val="Normaali"/>
    <w:next w:val="Normaali"/>
    <w:link w:val="Otsikko1Char"/>
    <w:uiPriority w:val="9"/>
    <w:qFormat/>
    <w:rsid w:val="0064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13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8670C"/>
    <w:pPr>
      <w:spacing w:after="200" w:line="276" w:lineRule="auto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54D23"/>
    <w:rPr>
      <w:color w:val="0000FF" w:themeColor="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54D23"/>
    <w:rPr>
      <w:vertAlign w:val="superscript"/>
    </w:rPr>
  </w:style>
  <w:style w:type="table" w:styleId="Vaaleavarjostus-korostus5">
    <w:name w:val="Light Shading Accent 5"/>
    <w:basedOn w:val="Normaalitaulukko"/>
    <w:uiPriority w:val="60"/>
    <w:rsid w:val="00C54D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iWWW">
    <w:name w:val="Normal (Web)"/>
    <w:basedOn w:val="Normaali"/>
    <w:uiPriority w:val="99"/>
    <w:unhideWhenUsed/>
    <w:rsid w:val="00C54D23"/>
    <w:rPr>
      <w:rFonts w:ascii="Times New Roman" w:eastAsiaTheme="minorHAnsi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54D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2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2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4D2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4D23"/>
  </w:style>
  <w:style w:type="paragraph" w:styleId="Alatunniste">
    <w:name w:val="footer"/>
    <w:basedOn w:val="Normaali"/>
    <w:link w:val="AlatunnisteChar"/>
    <w:uiPriority w:val="99"/>
    <w:unhideWhenUsed/>
    <w:rsid w:val="00C54D2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4D23"/>
  </w:style>
  <w:style w:type="character" w:styleId="Kommentinviite">
    <w:name w:val="annotation reference"/>
    <w:basedOn w:val="Kappaleenoletusfontti"/>
    <w:uiPriority w:val="99"/>
    <w:semiHidden/>
    <w:unhideWhenUsed/>
    <w:rsid w:val="00F66C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66C4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66C47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6C4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6C47"/>
    <w:rPr>
      <w:b/>
      <w:bCs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3061B"/>
    <w:pPr>
      <w:spacing w:after="240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3061B"/>
    <w:rPr>
      <w:sz w:val="20"/>
    </w:rPr>
  </w:style>
  <w:style w:type="character" w:customStyle="1" w:styleId="otsikko">
    <w:name w:val="otsikko"/>
    <w:basedOn w:val="Kappaleenoletusfontti"/>
    <w:rsid w:val="0023061B"/>
  </w:style>
  <w:style w:type="character" w:customStyle="1" w:styleId="Otsikko1Char">
    <w:name w:val="Otsikko 1 Char"/>
    <w:basedOn w:val="Kappaleenoletusfontti"/>
    <w:link w:val="Otsikko1"/>
    <w:uiPriority w:val="9"/>
    <w:rsid w:val="0064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250792"/>
  </w:style>
  <w:style w:type="character" w:styleId="AvattuHyperlinkki">
    <w:name w:val="FollowedHyperlink"/>
    <w:basedOn w:val="Kappaleenoletusfontti"/>
    <w:uiPriority w:val="99"/>
    <w:semiHidden/>
    <w:unhideWhenUsed/>
    <w:rsid w:val="003C1E8D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313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Vaalealuettelo-korostus5">
    <w:name w:val="Light List Accent 5"/>
    <w:basedOn w:val="Normaalitaulukko"/>
    <w:uiPriority w:val="61"/>
    <w:rsid w:val="007C03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1">
    <w:name w:val="st1"/>
    <w:basedOn w:val="Kappaleenoletusfontti"/>
    <w:rsid w:val="00A975FF"/>
  </w:style>
  <w:style w:type="paragraph" w:customStyle="1" w:styleId="Kuvatxt">
    <w:name w:val="Kuvatxt"/>
    <w:basedOn w:val="Normaali"/>
    <w:link w:val="KuvatxtChar"/>
    <w:qFormat/>
    <w:rsid w:val="00AA0309"/>
    <w:rPr>
      <w:color w:val="8F4B12"/>
      <w:sz w:val="18"/>
      <w:szCs w:val="24"/>
      <w:lang w:eastAsia="fi-FI"/>
    </w:rPr>
  </w:style>
  <w:style w:type="character" w:customStyle="1" w:styleId="KuvatxtChar">
    <w:name w:val="Kuvatxt Char"/>
    <w:basedOn w:val="Kappaleenoletusfontti"/>
    <w:link w:val="Kuvatxt"/>
    <w:rsid w:val="00AA0309"/>
    <w:rPr>
      <w:color w:val="8F4B12"/>
      <w:sz w:val="18"/>
      <w:szCs w:val="24"/>
      <w:lang w:eastAsia="fi-FI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A0309"/>
    <w:rPr>
      <w:rFonts w:asciiTheme="minorHAnsi" w:eastAsiaTheme="minorEastAsia" w:hAnsiTheme="minorHAnsi" w:cstheme="minorBidi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hteet">
    <w:name w:val="Lähteet"/>
    <w:basedOn w:val="Normaali"/>
    <w:link w:val="LhteetChar"/>
    <w:qFormat/>
    <w:rsid w:val="00AA0309"/>
    <w:pPr>
      <w:spacing w:before="120" w:line="220" w:lineRule="exact"/>
      <w:ind w:left="454" w:hanging="454"/>
    </w:pPr>
    <w:rPr>
      <w:rFonts w:ascii="Times New Roman" w:hAnsi="Times New Roman"/>
      <w:sz w:val="18"/>
      <w:szCs w:val="16"/>
      <w:lang w:eastAsia="fi-FI"/>
    </w:rPr>
  </w:style>
  <w:style w:type="character" w:customStyle="1" w:styleId="LhteetChar">
    <w:name w:val="Lähteet Char"/>
    <w:basedOn w:val="Kappaleenoletusfontti"/>
    <w:link w:val="Lhteet"/>
    <w:rsid w:val="00AA0309"/>
    <w:rPr>
      <w:rFonts w:ascii="Times New Roman" w:hAnsi="Times New Roman"/>
      <w:sz w:val="18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670C"/>
  </w:style>
  <w:style w:type="paragraph" w:styleId="Otsikko1">
    <w:name w:val="heading 1"/>
    <w:basedOn w:val="Normaali"/>
    <w:next w:val="Normaali"/>
    <w:link w:val="Otsikko1Char"/>
    <w:uiPriority w:val="9"/>
    <w:qFormat/>
    <w:rsid w:val="0064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13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8670C"/>
    <w:pPr>
      <w:spacing w:after="200" w:line="276" w:lineRule="auto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54D23"/>
    <w:rPr>
      <w:color w:val="0000FF" w:themeColor="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54D23"/>
    <w:rPr>
      <w:vertAlign w:val="superscript"/>
    </w:rPr>
  </w:style>
  <w:style w:type="table" w:styleId="Vaaleavarjostus-korostus5">
    <w:name w:val="Light Shading Accent 5"/>
    <w:basedOn w:val="Normaalitaulukko"/>
    <w:uiPriority w:val="60"/>
    <w:rsid w:val="00C54D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iWWW">
    <w:name w:val="Normal (Web)"/>
    <w:basedOn w:val="Normaali"/>
    <w:uiPriority w:val="99"/>
    <w:unhideWhenUsed/>
    <w:rsid w:val="00C54D23"/>
    <w:rPr>
      <w:rFonts w:ascii="Times New Roman" w:eastAsiaTheme="minorHAnsi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54D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2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2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54D2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4D23"/>
  </w:style>
  <w:style w:type="paragraph" w:styleId="Alatunniste">
    <w:name w:val="footer"/>
    <w:basedOn w:val="Normaali"/>
    <w:link w:val="AlatunnisteChar"/>
    <w:uiPriority w:val="99"/>
    <w:unhideWhenUsed/>
    <w:rsid w:val="00C54D2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4D23"/>
  </w:style>
  <w:style w:type="character" w:styleId="Kommentinviite">
    <w:name w:val="annotation reference"/>
    <w:basedOn w:val="Kappaleenoletusfontti"/>
    <w:uiPriority w:val="99"/>
    <w:semiHidden/>
    <w:unhideWhenUsed/>
    <w:rsid w:val="00F66C4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66C4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66C47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6C4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6C47"/>
    <w:rPr>
      <w:b/>
      <w:bCs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3061B"/>
    <w:pPr>
      <w:spacing w:after="240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3061B"/>
    <w:rPr>
      <w:sz w:val="20"/>
    </w:rPr>
  </w:style>
  <w:style w:type="character" w:customStyle="1" w:styleId="otsikko">
    <w:name w:val="otsikko"/>
    <w:basedOn w:val="Kappaleenoletusfontti"/>
    <w:rsid w:val="0023061B"/>
  </w:style>
  <w:style w:type="character" w:customStyle="1" w:styleId="Otsikko1Char">
    <w:name w:val="Otsikko 1 Char"/>
    <w:basedOn w:val="Kappaleenoletusfontti"/>
    <w:link w:val="Otsikko1"/>
    <w:uiPriority w:val="9"/>
    <w:rsid w:val="0064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250792"/>
  </w:style>
  <w:style w:type="character" w:styleId="AvattuHyperlinkki">
    <w:name w:val="FollowedHyperlink"/>
    <w:basedOn w:val="Kappaleenoletusfontti"/>
    <w:uiPriority w:val="99"/>
    <w:semiHidden/>
    <w:unhideWhenUsed/>
    <w:rsid w:val="003C1E8D"/>
    <w:rPr>
      <w:color w:val="800080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313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Vaalealuettelo-korostus5">
    <w:name w:val="Light List Accent 5"/>
    <w:basedOn w:val="Normaalitaulukko"/>
    <w:uiPriority w:val="61"/>
    <w:rsid w:val="007C03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t1">
    <w:name w:val="st1"/>
    <w:basedOn w:val="Kappaleenoletusfontti"/>
    <w:rsid w:val="00A975FF"/>
  </w:style>
  <w:style w:type="paragraph" w:customStyle="1" w:styleId="Kuvatxt">
    <w:name w:val="Kuvatxt"/>
    <w:basedOn w:val="Normaali"/>
    <w:link w:val="KuvatxtChar"/>
    <w:qFormat/>
    <w:rsid w:val="00AA0309"/>
    <w:rPr>
      <w:color w:val="8F4B12"/>
      <w:sz w:val="18"/>
      <w:szCs w:val="24"/>
      <w:lang w:eastAsia="fi-FI"/>
    </w:rPr>
  </w:style>
  <w:style w:type="character" w:customStyle="1" w:styleId="KuvatxtChar">
    <w:name w:val="Kuvatxt Char"/>
    <w:basedOn w:val="Kappaleenoletusfontti"/>
    <w:link w:val="Kuvatxt"/>
    <w:rsid w:val="00AA0309"/>
    <w:rPr>
      <w:color w:val="8F4B12"/>
      <w:sz w:val="18"/>
      <w:szCs w:val="24"/>
      <w:lang w:eastAsia="fi-FI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A0309"/>
    <w:rPr>
      <w:rFonts w:asciiTheme="minorHAnsi" w:eastAsiaTheme="minorEastAsia" w:hAnsiTheme="minorHAnsi" w:cstheme="minorBidi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hteet">
    <w:name w:val="Lähteet"/>
    <w:basedOn w:val="Normaali"/>
    <w:link w:val="LhteetChar"/>
    <w:qFormat/>
    <w:rsid w:val="00AA0309"/>
    <w:pPr>
      <w:spacing w:before="120" w:line="220" w:lineRule="exact"/>
      <w:ind w:left="454" w:hanging="454"/>
    </w:pPr>
    <w:rPr>
      <w:rFonts w:ascii="Times New Roman" w:hAnsi="Times New Roman"/>
      <w:sz w:val="18"/>
      <w:szCs w:val="16"/>
      <w:lang w:eastAsia="fi-FI"/>
    </w:rPr>
  </w:style>
  <w:style w:type="character" w:customStyle="1" w:styleId="LhteetChar">
    <w:name w:val="Lähteet Char"/>
    <w:basedOn w:val="Kappaleenoletusfontti"/>
    <w:link w:val="Lhteet"/>
    <w:rsid w:val="00AA0309"/>
    <w:rPr>
      <w:rFonts w:ascii="Times New Roman" w:hAnsi="Times New Roman"/>
      <w:sz w:val="18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pasto.vtt.fi/yksikkopaastot/henkiloliikenne/tieliikenne/henkiloautot/hayht.htm" TargetMode="External"/><Relationship Id="rId1" Type="http://schemas.openxmlformats.org/officeDocument/2006/relationships/hyperlink" Target="http://lipasto.vt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A387-BCE3-4CFF-B5B1-A8EFD84E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6233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Niemistö</dc:creator>
  <cp:lastModifiedBy>Niemistö Johanna</cp:lastModifiedBy>
  <cp:revision>2</cp:revision>
  <cp:lastPrinted>2017-10-30T07:08:00Z</cp:lastPrinted>
  <dcterms:created xsi:type="dcterms:W3CDTF">2017-11-06T10:46:00Z</dcterms:created>
  <dcterms:modified xsi:type="dcterms:W3CDTF">2017-11-06T10:46:00Z</dcterms:modified>
</cp:coreProperties>
</file>